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2"/>
          <w:szCs w:val="32"/>
        </w:rPr>
      </w:pPr>
    </w:p>
    <w:p>
      <w:pPr>
        <w:jc w:val="center"/>
        <w:rPr>
          <w:b/>
          <w:bCs/>
          <w:sz w:val="32"/>
          <w:szCs w:val="32"/>
        </w:rPr>
      </w:pPr>
    </w:p>
    <w:p>
      <w:pPr>
        <w:spacing w:line="800" w:lineRule="exact"/>
        <w:jc w:val="center"/>
        <w:rPr>
          <w:rFonts w:ascii="黑体" w:hAnsi="黑体" w:eastAsia="黑体"/>
          <w:sz w:val="48"/>
          <w:szCs w:val="48"/>
        </w:rPr>
      </w:pPr>
    </w:p>
    <w:p>
      <w:pPr>
        <w:spacing w:line="800" w:lineRule="exact"/>
        <w:jc w:val="center"/>
        <w:rPr>
          <w:rFonts w:ascii="黑体" w:hAnsi="黑体" w:eastAsia="黑体"/>
          <w:sz w:val="48"/>
          <w:szCs w:val="48"/>
        </w:rPr>
      </w:pPr>
      <w:r>
        <w:rPr>
          <w:rFonts w:hint="eastAsia" w:ascii="黑体" w:hAnsi="黑体" w:eastAsia="黑体"/>
          <w:sz w:val="48"/>
          <w:szCs w:val="48"/>
        </w:rPr>
        <w:t>《“领跑者”标准评价要求</w:t>
      </w:r>
      <w:r>
        <w:rPr>
          <w:rFonts w:hint="eastAsia" w:ascii="黑体" w:hAnsi="黑体" w:eastAsia="黑体"/>
          <w:sz w:val="48"/>
          <w:szCs w:val="48"/>
          <w:lang w:val="en-US" w:eastAsia="zh-CN"/>
        </w:rPr>
        <w:t xml:space="preserve"> 单元式空气调节机</w:t>
      </w:r>
      <w:r>
        <w:rPr>
          <w:rFonts w:hint="eastAsia" w:ascii="黑体" w:hAnsi="黑体" w:eastAsia="黑体"/>
          <w:sz w:val="48"/>
          <w:szCs w:val="48"/>
        </w:rPr>
        <w:t>》</w:t>
      </w:r>
    </w:p>
    <w:p>
      <w:pPr>
        <w:spacing w:line="800" w:lineRule="exact"/>
        <w:jc w:val="center"/>
        <w:rPr>
          <w:rFonts w:ascii="黑体" w:hAnsi="黑体" w:eastAsia="黑体"/>
          <w:sz w:val="48"/>
          <w:szCs w:val="48"/>
        </w:rPr>
      </w:pPr>
      <w:r>
        <w:rPr>
          <w:rFonts w:hint="eastAsia" w:ascii="黑体" w:hAnsi="黑体" w:eastAsia="黑体"/>
          <w:sz w:val="48"/>
          <w:szCs w:val="48"/>
        </w:rPr>
        <w:t>团体标准编制说明</w:t>
      </w:r>
    </w:p>
    <w:p>
      <w:pPr>
        <w:spacing w:line="800" w:lineRule="exact"/>
        <w:jc w:val="center"/>
        <w:rPr>
          <w:rFonts w:ascii="黑体" w:hAnsi="黑体" w:eastAsia="黑体"/>
          <w:sz w:val="48"/>
          <w:szCs w:val="48"/>
        </w:rPr>
      </w:pPr>
      <w:r>
        <w:rPr>
          <w:rFonts w:hint="eastAsia" w:ascii="黑体" w:hAnsi="黑体" w:eastAsia="黑体"/>
          <w:sz w:val="48"/>
          <w:szCs w:val="48"/>
        </w:rPr>
        <w:t>（征求意见稿）</w:t>
      </w:r>
    </w:p>
    <w:p>
      <w:pPr>
        <w:jc w:val="center"/>
        <w:rPr>
          <w:b/>
          <w:bCs/>
          <w:sz w:val="32"/>
          <w:szCs w:val="32"/>
        </w:rPr>
      </w:pPr>
    </w:p>
    <w:p>
      <w:pPr>
        <w:jc w:val="center"/>
        <w:rPr>
          <w:b/>
          <w:bCs/>
          <w:sz w:val="32"/>
          <w:szCs w:val="32"/>
        </w:rPr>
      </w:pPr>
    </w:p>
    <w:p>
      <w:pPr>
        <w:jc w:val="center"/>
        <w:rPr>
          <w:b/>
          <w:bCs/>
          <w:sz w:val="32"/>
          <w:szCs w:val="32"/>
        </w:rPr>
      </w:pPr>
    </w:p>
    <w:p>
      <w:pPr>
        <w:jc w:val="center"/>
        <w:rPr>
          <w:b/>
          <w:bCs/>
          <w:sz w:val="32"/>
          <w:szCs w:val="32"/>
        </w:rPr>
      </w:pPr>
    </w:p>
    <w:p>
      <w:pPr>
        <w:jc w:val="center"/>
        <w:rPr>
          <w:b/>
          <w:bCs/>
          <w:sz w:val="32"/>
          <w:szCs w:val="32"/>
        </w:rPr>
      </w:pPr>
    </w:p>
    <w:p>
      <w:pPr>
        <w:jc w:val="center"/>
        <w:rPr>
          <w:b/>
          <w:bCs/>
          <w:sz w:val="32"/>
          <w:szCs w:val="32"/>
        </w:rPr>
      </w:pPr>
    </w:p>
    <w:p>
      <w:pPr>
        <w:jc w:val="center"/>
        <w:rPr>
          <w:b/>
          <w:bCs/>
          <w:sz w:val="32"/>
          <w:szCs w:val="32"/>
        </w:rPr>
      </w:pPr>
    </w:p>
    <w:p>
      <w:pPr>
        <w:jc w:val="center"/>
        <w:rPr>
          <w:b/>
          <w:bCs/>
          <w:sz w:val="32"/>
          <w:szCs w:val="32"/>
        </w:rPr>
      </w:pPr>
    </w:p>
    <w:p>
      <w:pPr>
        <w:jc w:val="center"/>
        <w:rPr>
          <w:b/>
          <w:bCs/>
          <w:sz w:val="32"/>
          <w:szCs w:val="32"/>
        </w:rPr>
      </w:pPr>
    </w:p>
    <w:p>
      <w:pPr>
        <w:jc w:val="center"/>
        <w:rPr>
          <w:b/>
          <w:bCs/>
          <w:sz w:val="32"/>
          <w:szCs w:val="32"/>
        </w:rPr>
      </w:pPr>
    </w:p>
    <w:p>
      <w:pPr>
        <w:jc w:val="center"/>
        <w:rPr>
          <w:rFonts w:ascii="黑体" w:hAnsi="黑体" w:eastAsia="黑体"/>
          <w:sz w:val="44"/>
          <w:szCs w:val="44"/>
        </w:rPr>
      </w:pPr>
      <w:r>
        <w:rPr>
          <w:rFonts w:hint="eastAsia" w:ascii="黑体" w:hAnsi="黑体" w:eastAsia="黑体"/>
          <w:sz w:val="44"/>
          <w:szCs w:val="44"/>
        </w:rPr>
        <w:t>标准起草组</w:t>
      </w:r>
    </w:p>
    <w:p>
      <w:pPr>
        <w:jc w:val="center"/>
        <w:rPr>
          <w:rFonts w:ascii="黑体" w:hAnsi="黑体" w:eastAsia="黑体"/>
          <w:sz w:val="44"/>
          <w:szCs w:val="44"/>
        </w:rPr>
      </w:pPr>
      <w:r>
        <w:rPr>
          <w:rFonts w:hint="eastAsia" w:ascii="黑体" w:hAnsi="黑体" w:eastAsia="黑体"/>
          <w:sz w:val="44"/>
          <w:szCs w:val="44"/>
        </w:rPr>
        <w:t>2</w:t>
      </w:r>
      <w:r>
        <w:rPr>
          <w:rFonts w:ascii="黑体" w:hAnsi="黑体" w:eastAsia="黑体"/>
          <w:sz w:val="44"/>
          <w:szCs w:val="44"/>
        </w:rPr>
        <w:t>02</w:t>
      </w:r>
      <w:r>
        <w:rPr>
          <w:rFonts w:hint="eastAsia" w:ascii="黑体" w:hAnsi="黑体" w:eastAsia="黑体"/>
          <w:sz w:val="44"/>
          <w:szCs w:val="44"/>
          <w:lang w:val="en-US" w:eastAsia="zh-CN"/>
        </w:rPr>
        <w:t>1</w:t>
      </w:r>
      <w:r>
        <w:rPr>
          <w:rFonts w:hint="eastAsia" w:ascii="黑体" w:hAnsi="黑体" w:eastAsia="黑体"/>
          <w:sz w:val="44"/>
          <w:szCs w:val="44"/>
        </w:rPr>
        <w:t>年</w:t>
      </w:r>
      <w:r>
        <w:rPr>
          <w:rFonts w:hint="eastAsia" w:ascii="黑体" w:hAnsi="黑体" w:eastAsia="黑体"/>
          <w:sz w:val="44"/>
          <w:szCs w:val="44"/>
          <w:lang w:val="en-US" w:eastAsia="zh-CN"/>
        </w:rPr>
        <w:t>5</w:t>
      </w:r>
      <w:r>
        <w:rPr>
          <w:rFonts w:hint="eastAsia" w:ascii="黑体" w:hAnsi="黑体" w:eastAsia="黑体"/>
          <w:sz w:val="44"/>
          <w:szCs w:val="44"/>
        </w:rPr>
        <w:t>月</w:t>
      </w:r>
    </w:p>
    <w:p>
      <w:pPr>
        <w:jc w:val="center"/>
        <w:rPr>
          <w:b/>
          <w:bCs/>
          <w:sz w:val="32"/>
          <w:szCs w:val="32"/>
        </w:rPr>
      </w:pPr>
    </w:p>
    <w:p>
      <w:pPr>
        <w:jc w:val="center"/>
        <w:rPr>
          <w:b/>
          <w:bCs/>
          <w:sz w:val="32"/>
          <w:szCs w:val="32"/>
        </w:rPr>
      </w:pPr>
    </w:p>
    <w:p>
      <w:pPr>
        <w:jc w:val="center"/>
        <w:rPr>
          <w:b/>
          <w:bCs/>
          <w:sz w:val="32"/>
          <w:szCs w:val="32"/>
        </w:rPr>
      </w:pPr>
    </w:p>
    <w:p>
      <w:pPr>
        <w:jc w:val="center"/>
        <w:rPr>
          <w:rFonts w:ascii="黑体" w:hAnsi="黑体" w:eastAsia="黑体"/>
          <w:sz w:val="36"/>
          <w:szCs w:val="36"/>
        </w:rPr>
      </w:pPr>
      <w:r>
        <w:rPr>
          <w:rFonts w:hint="eastAsia" w:ascii="黑体" w:hAnsi="黑体" w:eastAsia="黑体"/>
          <w:sz w:val="36"/>
          <w:szCs w:val="36"/>
        </w:rPr>
        <w:t>目次</w:t>
      </w:r>
    </w:p>
    <w:p>
      <w:pPr>
        <w:pStyle w:val="5"/>
        <w:tabs>
          <w:tab w:val="right" w:leader="dot" w:pos="9061"/>
        </w:tabs>
        <w:ind w:left="0" w:leftChars="0"/>
        <w:rPr>
          <w:rFonts w:ascii="宋体" w:hAnsi="宋体" w:cstheme="minorBidi"/>
          <w:sz w:val="28"/>
          <w:szCs w:val="28"/>
        </w:rPr>
      </w:pPr>
      <w:r>
        <w:rPr>
          <w:rFonts w:hint="eastAsia" w:ascii="宋体" w:hAnsi="宋体"/>
          <w:sz w:val="28"/>
          <w:szCs w:val="28"/>
        </w:rPr>
        <w:t>一、立项背景</w:t>
      </w:r>
      <w:r>
        <w:rPr>
          <w:rFonts w:ascii="宋体" w:hAnsi="宋体"/>
          <w:sz w:val="28"/>
          <w:szCs w:val="28"/>
        </w:rPr>
        <w:tab/>
      </w:r>
      <w:r>
        <w:rPr>
          <w:rFonts w:ascii="宋体" w:hAnsi="宋体"/>
          <w:sz w:val="28"/>
          <w:szCs w:val="28"/>
        </w:rPr>
        <w:t>2</w:t>
      </w:r>
    </w:p>
    <w:p>
      <w:pPr>
        <w:pStyle w:val="5"/>
        <w:tabs>
          <w:tab w:val="right" w:leader="dot" w:pos="9061"/>
        </w:tabs>
        <w:ind w:left="0" w:leftChars="0"/>
        <w:rPr>
          <w:rFonts w:ascii="宋体" w:hAnsi="宋体" w:cstheme="minorBidi"/>
          <w:sz w:val="28"/>
          <w:szCs w:val="28"/>
        </w:rPr>
      </w:pPr>
      <w:r>
        <w:rPr>
          <w:rFonts w:hint="eastAsia" w:ascii="宋体" w:hAnsi="宋体"/>
          <w:sz w:val="28"/>
          <w:szCs w:val="28"/>
        </w:rPr>
        <w:t>二、适用范围和拟解决问题</w:t>
      </w:r>
      <w:r>
        <w:rPr>
          <w:rFonts w:ascii="宋体" w:hAnsi="宋体"/>
          <w:sz w:val="28"/>
          <w:szCs w:val="28"/>
        </w:rPr>
        <w:tab/>
      </w:r>
      <w:r>
        <w:rPr>
          <w:rFonts w:hint="eastAsia" w:ascii="宋体" w:hAnsi="宋体"/>
          <w:sz w:val="28"/>
          <w:szCs w:val="28"/>
        </w:rPr>
        <w:t>3</w:t>
      </w:r>
    </w:p>
    <w:p>
      <w:pPr>
        <w:pStyle w:val="5"/>
        <w:tabs>
          <w:tab w:val="right" w:leader="dot" w:pos="9061"/>
        </w:tabs>
        <w:ind w:left="0" w:leftChars="0"/>
        <w:rPr>
          <w:rFonts w:ascii="宋体" w:hAnsi="宋体" w:cstheme="minorBidi"/>
          <w:sz w:val="28"/>
          <w:szCs w:val="28"/>
        </w:rPr>
      </w:pPr>
      <w:r>
        <w:rPr>
          <w:rFonts w:hint="eastAsia" w:ascii="宋体" w:hAnsi="宋体"/>
          <w:sz w:val="28"/>
          <w:szCs w:val="28"/>
        </w:rPr>
        <w:t>三、标准制定原则</w:t>
      </w:r>
      <w:r>
        <w:rPr>
          <w:rFonts w:ascii="宋体" w:hAnsi="宋体"/>
          <w:sz w:val="28"/>
          <w:szCs w:val="28"/>
        </w:rPr>
        <w:tab/>
      </w:r>
      <w:r>
        <w:rPr>
          <w:rFonts w:hint="eastAsia" w:ascii="宋体" w:hAnsi="宋体"/>
          <w:sz w:val="28"/>
          <w:szCs w:val="28"/>
        </w:rPr>
        <w:t>4</w:t>
      </w:r>
    </w:p>
    <w:p>
      <w:pPr>
        <w:pStyle w:val="5"/>
        <w:tabs>
          <w:tab w:val="right" w:leader="dot" w:pos="9061"/>
        </w:tabs>
        <w:ind w:left="0" w:leftChars="0"/>
        <w:rPr>
          <w:rFonts w:ascii="宋体" w:hAnsi="宋体" w:cstheme="minorBidi"/>
          <w:sz w:val="28"/>
          <w:szCs w:val="28"/>
        </w:rPr>
      </w:pPr>
      <w:r>
        <w:rPr>
          <w:rFonts w:hint="eastAsia" w:ascii="宋体" w:hAnsi="宋体"/>
          <w:sz w:val="28"/>
          <w:szCs w:val="28"/>
        </w:rPr>
        <w:t>四、主要工作过程</w:t>
      </w:r>
      <w:r>
        <w:rPr>
          <w:rFonts w:ascii="宋体" w:hAnsi="宋体"/>
          <w:sz w:val="28"/>
          <w:szCs w:val="28"/>
        </w:rPr>
        <w:tab/>
      </w:r>
      <w:r>
        <w:rPr>
          <w:rFonts w:hint="eastAsia" w:ascii="宋体" w:hAnsi="宋体"/>
          <w:sz w:val="28"/>
          <w:szCs w:val="28"/>
        </w:rPr>
        <w:t>4</w:t>
      </w:r>
    </w:p>
    <w:p>
      <w:pPr>
        <w:pStyle w:val="5"/>
        <w:tabs>
          <w:tab w:val="right" w:leader="dot" w:pos="9061"/>
        </w:tabs>
        <w:ind w:left="0" w:leftChars="0"/>
        <w:rPr>
          <w:rFonts w:ascii="宋体" w:hAnsi="宋体" w:cstheme="minorBidi"/>
          <w:sz w:val="28"/>
          <w:szCs w:val="28"/>
        </w:rPr>
      </w:pPr>
      <w:r>
        <w:rPr>
          <w:rFonts w:hint="eastAsia" w:ascii="宋体" w:hAnsi="宋体"/>
          <w:sz w:val="28"/>
          <w:szCs w:val="28"/>
        </w:rPr>
        <w:t>五、标准主要技术内容</w:t>
      </w:r>
      <w:r>
        <w:rPr>
          <w:rFonts w:ascii="宋体" w:hAnsi="宋体"/>
          <w:sz w:val="28"/>
          <w:szCs w:val="28"/>
        </w:rPr>
        <w:tab/>
      </w:r>
      <w:r>
        <w:rPr>
          <w:rFonts w:ascii="宋体" w:hAnsi="宋体"/>
          <w:sz w:val="28"/>
          <w:szCs w:val="28"/>
        </w:rPr>
        <w:t>5</w:t>
      </w:r>
    </w:p>
    <w:p>
      <w:pPr>
        <w:pStyle w:val="5"/>
        <w:tabs>
          <w:tab w:val="right" w:leader="dot" w:pos="9061"/>
        </w:tabs>
        <w:ind w:left="0" w:leftChars="0"/>
        <w:rPr>
          <w:rFonts w:ascii="宋体" w:hAnsi="宋体"/>
          <w:sz w:val="28"/>
          <w:szCs w:val="28"/>
        </w:rPr>
      </w:pPr>
      <w:r>
        <w:rPr>
          <w:rFonts w:hint="eastAsia" w:ascii="宋体" w:hAnsi="宋体"/>
          <w:sz w:val="28"/>
          <w:szCs w:val="28"/>
        </w:rPr>
        <w:t>六、预期作用和效益</w:t>
      </w:r>
      <w:r>
        <w:rPr>
          <w:rFonts w:ascii="宋体" w:hAnsi="宋体"/>
          <w:sz w:val="28"/>
          <w:szCs w:val="28"/>
        </w:rPr>
        <w:tab/>
      </w:r>
      <w:r>
        <w:rPr>
          <w:rFonts w:ascii="宋体" w:hAnsi="宋体"/>
          <w:sz w:val="28"/>
          <w:szCs w:val="28"/>
        </w:rPr>
        <w:t>8</w:t>
      </w:r>
    </w:p>
    <w:p>
      <w:pPr>
        <w:pStyle w:val="5"/>
        <w:tabs>
          <w:tab w:val="right" w:leader="dot" w:pos="9061"/>
        </w:tabs>
        <w:ind w:left="0" w:leftChars="0"/>
        <w:rPr>
          <w:rFonts w:ascii="宋体" w:hAnsi="宋体"/>
          <w:sz w:val="28"/>
          <w:szCs w:val="28"/>
        </w:rPr>
      </w:pPr>
      <w:r>
        <w:rPr>
          <w:rFonts w:hint="eastAsia" w:ascii="宋体" w:hAnsi="宋体"/>
          <w:sz w:val="28"/>
          <w:szCs w:val="28"/>
        </w:rPr>
        <w:t>七、采用国际标准和国外先进标准的程度，以及与国际、国外同类标准水平的对比情况</w:t>
      </w:r>
      <w:r>
        <w:rPr>
          <w:rFonts w:ascii="宋体" w:hAnsi="宋体"/>
          <w:sz w:val="28"/>
          <w:szCs w:val="28"/>
        </w:rPr>
        <w:tab/>
      </w:r>
      <w:r>
        <w:rPr>
          <w:rFonts w:ascii="宋体" w:hAnsi="宋体"/>
          <w:sz w:val="28"/>
          <w:szCs w:val="28"/>
        </w:rPr>
        <w:t>8</w:t>
      </w:r>
    </w:p>
    <w:p>
      <w:pPr>
        <w:pStyle w:val="5"/>
        <w:tabs>
          <w:tab w:val="right" w:leader="dot" w:pos="9061"/>
        </w:tabs>
        <w:ind w:left="0" w:leftChars="0"/>
        <w:rPr>
          <w:rFonts w:ascii="宋体" w:hAnsi="宋体"/>
          <w:sz w:val="28"/>
          <w:szCs w:val="28"/>
        </w:rPr>
      </w:pPr>
      <w:r>
        <w:rPr>
          <w:rFonts w:hint="eastAsia" w:ascii="宋体" w:hAnsi="宋体"/>
          <w:sz w:val="28"/>
          <w:szCs w:val="28"/>
        </w:rPr>
        <w:t>八、与有关的现行法律、法规和强制性国家标准的关系</w:t>
      </w:r>
      <w:r>
        <w:rPr>
          <w:rFonts w:ascii="宋体" w:hAnsi="宋体"/>
          <w:sz w:val="28"/>
          <w:szCs w:val="28"/>
        </w:rPr>
        <w:tab/>
      </w:r>
      <w:r>
        <w:rPr>
          <w:rFonts w:ascii="宋体" w:hAnsi="宋体"/>
          <w:sz w:val="28"/>
          <w:szCs w:val="28"/>
        </w:rPr>
        <w:t>8</w:t>
      </w:r>
    </w:p>
    <w:p>
      <w:pPr>
        <w:pStyle w:val="5"/>
        <w:tabs>
          <w:tab w:val="right" w:leader="dot" w:pos="9061"/>
        </w:tabs>
        <w:ind w:left="0" w:leftChars="0"/>
        <w:rPr>
          <w:rFonts w:ascii="宋体" w:hAnsi="宋体"/>
          <w:sz w:val="28"/>
          <w:szCs w:val="28"/>
        </w:rPr>
      </w:pPr>
      <w:r>
        <w:rPr>
          <w:rFonts w:hint="eastAsia" w:ascii="宋体" w:hAnsi="宋体"/>
          <w:sz w:val="28"/>
          <w:szCs w:val="28"/>
        </w:rPr>
        <w:t>九、重大分歧意见的处理经过和依据</w:t>
      </w:r>
      <w:r>
        <w:rPr>
          <w:rFonts w:ascii="宋体" w:hAnsi="宋体"/>
          <w:sz w:val="28"/>
          <w:szCs w:val="28"/>
        </w:rPr>
        <w:tab/>
      </w:r>
      <w:r>
        <w:rPr>
          <w:rFonts w:ascii="宋体" w:hAnsi="宋体"/>
          <w:sz w:val="28"/>
          <w:szCs w:val="28"/>
        </w:rPr>
        <w:t>8</w:t>
      </w:r>
    </w:p>
    <w:p>
      <w:pPr>
        <w:pStyle w:val="5"/>
        <w:tabs>
          <w:tab w:val="right" w:leader="dot" w:pos="9061"/>
        </w:tabs>
        <w:ind w:left="0" w:leftChars="0"/>
        <w:rPr>
          <w:rFonts w:ascii="宋体" w:hAnsi="宋体"/>
          <w:sz w:val="28"/>
          <w:szCs w:val="28"/>
        </w:rPr>
      </w:pPr>
      <w:r>
        <w:rPr>
          <w:rFonts w:hint="eastAsia" w:ascii="宋体" w:hAnsi="宋体"/>
          <w:sz w:val="28"/>
          <w:szCs w:val="28"/>
        </w:rPr>
        <w:t>十、贯彻国家标准的要求和措施建议</w:t>
      </w:r>
      <w:r>
        <w:rPr>
          <w:rFonts w:ascii="宋体" w:hAnsi="宋体"/>
          <w:sz w:val="28"/>
          <w:szCs w:val="28"/>
        </w:rPr>
        <w:tab/>
      </w:r>
      <w:r>
        <w:rPr>
          <w:rFonts w:ascii="宋体" w:hAnsi="宋体"/>
          <w:sz w:val="28"/>
          <w:szCs w:val="28"/>
        </w:rPr>
        <w:t>8</w:t>
      </w: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ind w:firstLine="562" w:firstLineChars="200"/>
        <w:rPr>
          <w:rFonts w:ascii="宋体" w:hAnsi="宋体" w:eastAsia="宋体"/>
          <w:b/>
          <w:bCs/>
          <w:sz w:val="28"/>
          <w:szCs w:val="28"/>
        </w:rPr>
      </w:pPr>
      <w:r>
        <w:rPr>
          <w:rFonts w:hint="eastAsia" w:ascii="宋体" w:hAnsi="宋体" w:eastAsia="宋体"/>
          <w:b/>
          <w:bCs/>
          <w:sz w:val="28"/>
          <w:szCs w:val="28"/>
        </w:rPr>
        <w:t>一、立项背景</w:t>
      </w:r>
    </w:p>
    <w:p>
      <w:pPr>
        <w:ind w:firstLine="560" w:firstLineChars="200"/>
        <w:rPr>
          <w:rFonts w:ascii="宋体" w:hAnsi="宋体" w:eastAsia="宋体"/>
          <w:sz w:val="28"/>
          <w:szCs w:val="28"/>
        </w:rPr>
      </w:pPr>
      <w:r>
        <w:rPr>
          <w:rFonts w:hint="eastAsia" w:ascii="宋体" w:hAnsi="宋体" w:eastAsia="宋体"/>
          <w:sz w:val="28"/>
          <w:szCs w:val="28"/>
          <w:lang w:val="en-US" w:eastAsia="zh-CN"/>
        </w:rPr>
        <w:t>单元式空气调节机量大面广，是制冷空调设备中门类最全的产品类别，目前单元式空气调节机在家用和商用领域应用越来越广泛</w:t>
      </w:r>
      <w:r>
        <w:rPr>
          <w:rFonts w:hint="eastAsia" w:ascii="宋体" w:hAnsi="宋体" w:eastAsia="宋体"/>
          <w:sz w:val="28"/>
          <w:szCs w:val="28"/>
        </w:rPr>
        <w:t>，</w:t>
      </w:r>
      <w:r>
        <w:rPr>
          <w:rFonts w:hint="eastAsia" w:ascii="宋体" w:hAnsi="宋体" w:eastAsia="宋体"/>
          <w:sz w:val="28"/>
          <w:szCs w:val="28"/>
          <w:lang w:val="en-US" w:eastAsia="zh-CN"/>
        </w:rPr>
        <w:t>在双碳目标和节能减排的大背景下，提高产品性能，节能减排</w:t>
      </w:r>
      <w:r>
        <w:rPr>
          <w:rFonts w:hint="eastAsia" w:ascii="宋体" w:hAnsi="宋体" w:eastAsia="宋体"/>
          <w:sz w:val="28"/>
          <w:szCs w:val="28"/>
        </w:rPr>
        <w:t>是空调行业关注的重点。</w:t>
      </w:r>
    </w:p>
    <w:p>
      <w:pPr>
        <w:ind w:firstLine="560" w:firstLineChars="200"/>
        <w:rPr>
          <w:rFonts w:hint="default" w:ascii="宋体" w:hAnsi="宋体" w:eastAsia="宋体"/>
          <w:sz w:val="28"/>
          <w:szCs w:val="28"/>
          <w:lang w:val="en-US" w:eastAsia="zh-CN"/>
        </w:rPr>
      </w:pPr>
      <w:r>
        <w:rPr>
          <w:rFonts w:hint="eastAsia" w:ascii="宋体" w:hAnsi="宋体" w:eastAsia="宋体"/>
          <w:sz w:val="28"/>
          <w:szCs w:val="28"/>
        </w:rPr>
        <w:t>目前，</w:t>
      </w:r>
      <w:r>
        <w:rPr>
          <w:rFonts w:hint="eastAsia" w:ascii="宋体" w:hAnsi="宋体" w:eastAsia="宋体"/>
          <w:sz w:val="28"/>
          <w:szCs w:val="28"/>
          <w:lang w:val="en-US" w:eastAsia="zh-CN"/>
        </w:rPr>
        <w:t>单元式空调机</w:t>
      </w:r>
      <w:r>
        <w:rPr>
          <w:rFonts w:hint="eastAsia" w:ascii="宋体" w:hAnsi="宋体" w:eastAsia="宋体"/>
          <w:sz w:val="28"/>
          <w:szCs w:val="28"/>
        </w:rPr>
        <w:t xml:space="preserve">执行的产品标准为GB/T </w:t>
      </w:r>
      <w:r>
        <w:rPr>
          <w:rFonts w:hint="eastAsia" w:ascii="宋体" w:hAnsi="宋体" w:eastAsia="宋体"/>
          <w:sz w:val="28"/>
          <w:szCs w:val="28"/>
          <w:lang w:val="en-US" w:eastAsia="zh-CN"/>
        </w:rPr>
        <w:t>17758-2010</w:t>
      </w:r>
      <w:r>
        <w:rPr>
          <w:rFonts w:hint="eastAsia" w:ascii="宋体" w:hAnsi="宋体" w:eastAsia="宋体"/>
          <w:sz w:val="28"/>
          <w:szCs w:val="28"/>
        </w:rPr>
        <w:t>《</w:t>
      </w:r>
      <w:r>
        <w:rPr>
          <w:rFonts w:hint="eastAsia" w:ascii="宋体" w:hAnsi="宋体" w:eastAsia="宋体"/>
          <w:sz w:val="28"/>
          <w:szCs w:val="28"/>
          <w:lang w:val="en-US" w:eastAsia="zh-CN"/>
        </w:rPr>
        <w:t>单元式空气调节机</w:t>
      </w:r>
      <w:r>
        <w:rPr>
          <w:rFonts w:hint="eastAsia" w:ascii="宋体" w:hAnsi="宋体" w:eastAsia="宋体"/>
          <w:sz w:val="28"/>
          <w:szCs w:val="28"/>
        </w:rPr>
        <w:t>》</w:t>
      </w:r>
      <w:r>
        <w:rPr>
          <w:rFonts w:hint="eastAsia" w:ascii="宋体" w:hAnsi="宋体" w:eastAsia="宋体"/>
          <w:sz w:val="28"/>
          <w:szCs w:val="28"/>
          <w:lang w:eastAsia="zh-CN"/>
        </w:rPr>
        <w:t>、</w:t>
      </w:r>
      <w:r>
        <w:rPr>
          <w:rFonts w:hint="eastAsia" w:ascii="宋体" w:hAnsi="宋体" w:eastAsia="宋体"/>
          <w:sz w:val="28"/>
          <w:szCs w:val="28"/>
        </w:rPr>
        <w:t>GB 1957</w:t>
      </w:r>
      <w:r>
        <w:rPr>
          <w:rFonts w:hint="eastAsia" w:ascii="宋体" w:hAnsi="宋体" w:eastAsia="宋体"/>
          <w:sz w:val="28"/>
          <w:szCs w:val="28"/>
          <w:lang w:val="en-US" w:eastAsia="zh-CN"/>
        </w:rPr>
        <w:t>6</w:t>
      </w:r>
      <w:r>
        <w:rPr>
          <w:rFonts w:hint="eastAsia" w:ascii="宋体" w:hAnsi="宋体" w:eastAsia="宋体"/>
          <w:sz w:val="28"/>
          <w:szCs w:val="28"/>
        </w:rPr>
        <w:t>-201</w:t>
      </w:r>
      <w:r>
        <w:rPr>
          <w:rFonts w:hint="eastAsia" w:ascii="宋体" w:hAnsi="宋体" w:eastAsia="宋体"/>
          <w:sz w:val="28"/>
          <w:szCs w:val="28"/>
          <w:lang w:val="en-US" w:eastAsia="zh-CN"/>
        </w:rPr>
        <w:t>9</w:t>
      </w:r>
      <w:r>
        <w:rPr>
          <w:rFonts w:hint="eastAsia" w:ascii="宋体" w:hAnsi="宋体" w:eastAsia="宋体"/>
          <w:sz w:val="28"/>
          <w:szCs w:val="28"/>
        </w:rPr>
        <w:t>《单元式空气调节机能效限定值及能源效率等级》。这</w:t>
      </w:r>
      <w:r>
        <w:rPr>
          <w:rFonts w:hint="eastAsia" w:ascii="宋体" w:hAnsi="宋体" w:eastAsia="宋体"/>
          <w:sz w:val="28"/>
          <w:szCs w:val="28"/>
          <w:lang w:val="en-US" w:eastAsia="zh-CN"/>
        </w:rPr>
        <w:t>2</w:t>
      </w:r>
      <w:r>
        <w:rPr>
          <w:rFonts w:hint="eastAsia" w:ascii="宋体" w:hAnsi="宋体" w:eastAsia="宋体"/>
          <w:sz w:val="28"/>
          <w:szCs w:val="28"/>
        </w:rPr>
        <w:t>个标准均经过数年的实践与操作，大部分企业能满足其</w:t>
      </w:r>
      <w:r>
        <w:rPr>
          <w:rFonts w:hint="eastAsia" w:ascii="宋体" w:hAnsi="宋体" w:eastAsia="宋体"/>
          <w:sz w:val="28"/>
          <w:szCs w:val="28"/>
          <w:lang w:val="en-US" w:eastAsia="zh-CN"/>
        </w:rPr>
        <w:t>最低的要求</w:t>
      </w:r>
      <w:r>
        <w:rPr>
          <w:rFonts w:hint="eastAsia" w:ascii="宋体" w:hAnsi="宋体" w:eastAsia="宋体"/>
          <w:sz w:val="28"/>
          <w:szCs w:val="28"/>
        </w:rPr>
        <w:t>。</w:t>
      </w:r>
      <w:r>
        <w:rPr>
          <w:rFonts w:hint="eastAsia" w:ascii="宋体" w:hAnsi="宋体" w:eastAsia="宋体"/>
          <w:sz w:val="28"/>
          <w:szCs w:val="28"/>
          <w:lang w:val="en-US" w:eastAsia="zh-CN"/>
        </w:rPr>
        <w:t>随着企业设计、生产和制造水平的提高，产品的性能和功能向着更优越的方向发展。</w:t>
      </w:r>
    </w:p>
    <w:p>
      <w:pPr>
        <w:ind w:firstLine="560" w:firstLineChars="200"/>
        <w:rPr>
          <w:rFonts w:ascii="宋体" w:hAnsi="宋体" w:eastAsia="宋体" w:cs="华文楷体"/>
          <w:sz w:val="28"/>
          <w:szCs w:val="28"/>
        </w:rPr>
      </w:pPr>
      <w:r>
        <w:rPr>
          <w:rFonts w:hint="eastAsia" w:ascii="宋体" w:hAnsi="宋体" w:eastAsia="宋体"/>
          <w:sz w:val="28"/>
          <w:szCs w:val="28"/>
        </w:rPr>
        <w:t>该标准的立项制定将通过开展</w:t>
      </w:r>
      <w:r>
        <w:rPr>
          <w:rFonts w:hint="eastAsia" w:ascii="宋体" w:hAnsi="宋体" w:eastAsia="宋体"/>
          <w:sz w:val="28"/>
          <w:szCs w:val="28"/>
          <w:lang w:val="en-US" w:eastAsia="zh-CN"/>
        </w:rPr>
        <w:t>单元式空气机组</w:t>
      </w:r>
      <w:r>
        <w:rPr>
          <w:rFonts w:hint="eastAsia" w:ascii="宋体" w:hAnsi="宋体" w:eastAsia="宋体"/>
          <w:sz w:val="28"/>
          <w:szCs w:val="28"/>
        </w:rPr>
        <w:t>产品企业标准“领跑者”评价，有利于引导企业关注产品质量与环保性能等有关的技术指标，促使企业设计开发优质环保的空调产品，满足目前的市场需求，提高空调的质量和环保水平，进一步增强我国空调产品的国际竞争力。</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二、适用范围和拟解决问题</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1、适用范围</w:t>
      </w:r>
    </w:p>
    <w:p>
      <w:pPr>
        <w:ind w:firstLine="560" w:firstLineChars="200"/>
        <w:rPr>
          <w:rFonts w:hint="eastAsia" w:ascii="宋体" w:hAnsi="宋体" w:eastAsia="宋体" w:cs="华文楷体"/>
          <w:sz w:val="28"/>
          <w:szCs w:val="28"/>
        </w:rPr>
      </w:pPr>
      <w:r>
        <w:rPr>
          <w:rFonts w:hint="eastAsia" w:ascii="宋体" w:hAnsi="宋体" w:eastAsia="宋体" w:cs="华文楷体"/>
          <w:sz w:val="28"/>
          <w:szCs w:val="28"/>
          <w:lang w:val="en-US" w:eastAsia="zh-CN"/>
        </w:rPr>
        <w:t>本标准适用于名义制冷量大于等于7000W的单元式空气调节机。</w:t>
      </w:r>
    </w:p>
    <w:p>
      <w:pPr>
        <w:ind w:firstLine="560" w:firstLineChars="200"/>
        <w:rPr>
          <w:rFonts w:ascii="宋体" w:hAnsi="宋体" w:eastAsia="宋体" w:cs="华文楷体"/>
          <w:sz w:val="28"/>
          <w:szCs w:val="28"/>
        </w:rPr>
      </w:pPr>
      <w:r>
        <w:rPr>
          <w:rFonts w:hint="eastAsia" w:ascii="宋体" w:hAnsi="宋体" w:eastAsia="宋体" w:cs="华文楷体"/>
          <w:sz w:val="28"/>
          <w:szCs w:val="28"/>
          <w:lang w:val="en-US" w:eastAsia="zh-CN"/>
        </w:rPr>
        <w:t>本标准规定了单元式空气调节机企业标准“领跑者”评价的术语和定义、基本要求、评价指标体系和评价方法及周期。制定了创新指标的内容和评价方法等。</w:t>
      </w:r>
      <w:r>
        <w:rPr>
          <w:rFonts w:hint="eastAsia" w:ascii="宋体" w:hAnsi="宋体" w:eastAsia="宋体" w:cs="华文楷体"/>
          <w:sz w:val="28"/>
          <w:szCs w:val="28"/>
        </w:rPr>
        <w:t>企业在制定企业标准时可参照使用。相关机构在制定企业标准“领跑者”评估方案时也可参考使用。</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2、拟解决问题</w:t>
      </w:r>
    </w:p>
    <w:p>
      <w:pPr>
        <w:ind w:firstLine="560" w:firstLineChars="200"/>
        <w:rPr>
          <w:rFonts w:ascii="宋体" w:hAnsi="宋体" w:eastAsia="宋体" w:cs="华文楷体"/>
          <w:sz w:val="28"/>
          <w:szCs w:val="28"/>
        </w:rPr>
      </w:pPr>
      <w:r>
        <w:rPr>
          <w:rFonts w:hint="eastAsia" w:ascii="宋体" w:hAnsi="宋体" w:eastAsia="宋体" w:cs="华文楷体"/>
          <w:sz w:val="28"/>
          <w:szCs w:val="28"/>
        </w:rPr>
        <w:t>本文件的提出旨用技术指标规范</w:t>
      </w:r>
      <w:r>
        <w:rPr>
          <w:rFonts w:hint="eastAsia" w:ascii="宋体" w:hAnsi="宋体" w:eastAsia="宋体" w:cs="华文楷体"/>
          <w:sz w:val="28"/>
          <w:szCs w:val="28"/>
          <w:lang w:val="en-US" w:eastAsia="zh-CN"/>
        </w:rPr>
        <w:t>单元式空调机组</w:t>
      </w:r>
      <w:r>
        <w:rPr>
          <w:rFonts w:hint="eastAsia" w:ascii="宋体" w:hAnsi="宋体" w:eastAsia="宋体" w:cs="华文楷体"/>
          <w:sz w:val="28"/>
          <w:szCs w:val="28"/>
        </w:rPr>
        <w:t>产品企业标准，用标准引导企业关注产品质量与环保性能等有关的技术指标，促使企业设计开发优质环保的空调产品，满足目前的市场需求，提高空调的质量和环保水平。</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三、标准制定原则</w:t>
      </w:r>
    </w:p>
    <w:p>
      <w:pPr>
        <w:ind w:firstLine="560" w:firstLineChars="200"/>
        <w:rPr>
          <w:rFonts w:ascii="宋体" w:hAnsi="宋体" w:eastAsia="宋体" w:cs="华文楷体"/>
          <w:sz w:val="28"/>
          <w:szCs w:val="28"/>
        </w:rPr>
      </w:pPr>
      <w:r>
        <w:rPr>
          <w:rFonts w:hint="eastAsia" w:ascii="宋体" w:hAnsi="宋体" w:eastAsia="宋体" w:cs="华文楷体"/>
          <w:sz w:val="28"/>
          <w:szCs w:val="28"/>
        </w:rPr>
        <w:t>本标准的制定依据以下原则：</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1.适用性原则</w:t>
      </w:r>
    </w:p>
    <w:p>
      <w:pPr>
        <w:ind w:firstLine="560" w:firstLineChars="200"/>
        <w:rPr>
          <w:rFonts w:ascii="宋体" w:hAnsi="宋体" w:eastAsia="宋体" w:cs="华文楷体"/>
          <w:sz w:val="28"/>
          <w:szCs w:val="28"/>
        </w:rPr>
      </w:pPr>
      <w:r>
        <w:rPr>
          <w:rFonts w:hint="eastAsia" w:ascii="宋体" w:hAnsi="宋体" w:eastAsia="宋体" w:cs="华文楷体"/>
          <w:sz w:val="28"/>
          <w:szCs w:val="28"/>
        </w:rPr>
        <w:t>本标准的编制充分考虑与我国现行法律法规和国家节能政策等相符合性，充分考虑可操作性，便于标准的实施。</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2.规范性原则</w:t>
      </w:r>
    </w:p>
    <w:p>
      <w:pPr>
        <w:ind w:firstLine="560" w:firstLineChars="200"/>
        <w:rPr>
          <w:rFonts w:ascii="宋体" w:hAnsi="宋体" w:eastAsia="宋体" w:cs="华文楷体"/>
          <w:sz w:val="28"/>
          <w:szCs w:val="28"/>
        </w:rPr>
      </w:pPr>
      <w:r>
        <w:rPr>
          <w:rFonts w:hint="eastAsia" w:ascii="宋体" w:hAnsi="宋体" w:eastAsia="宋体" w:cs="华文楷体"/>
          <w:sz w:val="28"/>
          <w:szCs w:val="28"/>
        </w:rPr>
        <w:t>本标准根据《中华人民共和国标准法》、</w:t>
      </w:r>
      <w:r>
        <w:rPr>
          <w:rFonts w:ascii="Times New Roman" w:hAnsi="Times New Roman" w:eastAsia="宋体" w:cs="Times New Roman"/>
          <w:sz w:val="28"/>
          <w:szCs w:val="28"/>
        </w:rPr>
        <w:t>GB/T 1.1</w:t>
      </w:r>
      <w:r>
        <w:rPr>
          <w:rFonts w:hint="eastAsia" w:ascii="宋体" w:hAnsi="宋体" w:eastAsia="宋体" w:cs="华文楷体"/>
          <w:sz w:val="28"/>
          <w:szCs w:val="28"/>
        </w:rPr>
        <w:t>《标准化工作导则第</w:t>
      </w:r>
      <w:r>
        <w:rPr>
          <w:rFonts w:ascii="宋体" w:hAnsi="宋体" w:eastAsia="宋体" w:cs="华文楷体"/>
          <w:sz w:val="28"/>
          <w:szCs w:val="28"/>
        </w:rPr>
        <w:t>1部分：标准</w:t>
      </w:r>
      <w:r>
        <w:rPr>
          <w:rFonts w:hint="eastAsia" w:ascii="宋体" w:hAnsi="宋体" w:eastAsia="宋体" w:cs="华文楷体"/>
          <w:sz w:val="28"/>
          <w:szCs w:val="28"/>
        </w:rPr>
        <w:t>化文件</w:t>
      </w:r>
      <w:r>
        <w:rPr>
          <w:rFonts w:ascii="宋体" w:hAnsi="宋体" w:eastAsia="宋体" w:cs="华文楷体"/>
          <w:sz w:val="28"/>
          <w:szCs w:val="28"/>
        </w:rPr>
        <w:t>的结构和</w:t>
      </w:r>
      <w:r>
        <w:rPr>
          <w:rFonts w:hint="eastAsia" w:ascii="宋体" w:hAnsi="宋体" w:eastAsia="宋体" w:cs="华文楷体"/>
          <w:sz w:val="28"/>
          <w:szCs w:val="28"/>
        </w:rPr>
        <w:t>起草规则</w:t>
      </w:r>
      <w:r>
        <w:rPr>
          <w:rFonts w:ascii="宋体" w:hAnsi="宋体" w:eastAsia="宋体" w:cs="华文楷体"/>
          <w:sz w:val="28"/>
          <w:szCs w:val="28"/>
        </w:rPr>
        <w:t>》、</w:t>
      </w:r>
      <w:r>
        <w:rPr>
          <w:rFonts w:ascii="Times New Roman" w:hAnsi="Times New Roman" w:eastAsia="宋体" w:cs="Times New Roman"/>
          <w:sz w:val="28"/>
          <w:szCs w:val="28"/>
        </w:rPr>
        <w:t>T/CAQP 015</w:t>
      </w:r>
      <w:r>
        <w:rPr>
          <w:rFonts w:hint="eastAsia" w:ascii="Times New Roman" w:hAnsi="Times New Roman" w:eastAsia="宋体" w:cs="Times New Roman"/>
          <w:sz w:val="28"/>
          <w:szCs w:val="28"/>
        </w:rPr>
        <w:t xml:space="preserve"> T/ESF 0001</w:t>
      </w:r>
      <w:r>
        <w:rPr>
          <w:rFonts w:hint="eastAsia" w:ascii="宋体" w:hAnsi="宋体" w:eastAsia="宋体" w:cs="华文楷体"/>
          <w:sz w:val="28"/>
          <w:szCs w:val="28"/>
        </w:rPr>
        <w:t>《</w:t>
      </w:r>
      <w:r>
        <w:rPr>
          <w:rFonts w:ascii="宋体" w:hAnsi="宋体" w:eastAsia="宋体" w:cs="华文楷体"/>
          <w:sz w:val="28"/>
          <w:szCs w:val="28"/>
        </w:rPr>
        <w:t>“领跑者”标准编制通则</w:t>
      </w:r>
      <w:r>
        <w:rPr>
          <w:rFonts w:hint="eastAsia" w:ascii="宋体" w:hAnsi="宋体" w:eastAsia="宋体" w:cs="华文楷体"/>
          <w:sz w:val="28"/>
          <w:szCs w:val="28"/>
        </w:rPr>
        <w:t>》</w:t>
      </w:r>
      <w:r>
        <w:rPr>
          <w:rFonts w:ascii="宋体" w:hAnsi="宋体" w:eastAsia="宋体" w:cs="华文楷体"/>
          <w:sz w:val="28"/>
          <w:szCs w:val="28"/>
        </w:rPr>
        <w:t>进行编制。</w:t>
      </w:r>
    </w:p>
    <w:p>
      <w:pPr>
        <w:ind w:firstLine="560" w:firstLineChars="200"/>
        <w:rPr>
          <w:rFonts w:ascii="宋体" w:hAnsi="宋体" w:eastAsia="宋体" w:cs="华文楷体"/>
          <w:sz w:val="28"/>
          <w:szCs w:val="28"/>
        </w:rPr>
      </w:pPr>
      <w:r>
        <w:rPr>
          <w:rFonts w:hint="eastAsia" w:ascii="宋体" w:hAnsi="宋体" w:eastAsia="宋体" w:cs="华文楷体"/>
          <w:sz w:val="28"/>
          <w:szCs w:val="28"/>
        </w:rPr>
        <w:t>本</w:t>
      </w:r>
      <w:r>
        <w:rPr>
          <w:rFonts w:ascii="宋体" w:hAnsi="宋体" w:eastAsia="宋体" w:cs="华文楷体"/>
          <w:sz w:val="28"/>
          <w:szCs w:val="28"/>
        </w:rPr>
        <w:t>标准编制所参考的依据为国家有关法律法规以及强制性标准要求、国家及行业产品标准、国内或国际先进产品标准等</w:t>
      </w:r>
      <w:r>
        <w:rPr>
          <w:rFonts w:hint="eastAsia" w:ascii="宋体" w:hAnsi="宋体" w:eastAsia="宋体" w:cs="华文楷体"/>
          <w:sz w:val="28"/>
          <w:szCs w:val="28"/>
        </w:rPr>
        <w:t xml:space="preserve">,具体如下：    </w:t>
      </w:r>
    </w:p>
    <w:p>
      <w:pPr>
        <w:ind w:firstLine="560" w:firstLineChars="200"/>
        <w:rPr>
          <w:rFonts w:hint="eastAsia" w:ascii="宋体" w:hAnsi="宋体" w:eastAsia="宋体"/>
          <w:sz w:val="28"/>
          <w:szCs w:val="28"/>
        </w:rPr>
      </w:pPr>
      <w:r>
        <w:rPr>
          <w:rFonts w:ascii="宋体" w:hAnsi="宋体" w:eastAsia="宋体" w:cs="华文楷体"/>
          <w:sz w:val="28"/>
          <w:szCs w:val="28"/>
        </w:rPr>
        <w:t>GB 1957</w:t>
      </w:r>
      <w:r>
        <w:rPr>
          <w:rFonts w:hint="eastAsia" w:ascii="宋体" w:hAnsi="宋体" w:eastAsia="宋体" w:cs="华文楷体"/>
          <w:sz w:val="28"/>
          <w:szCs w:val="28"/>
          <w:lang w:val="en-US" w:eastAsia="zh-CN"/>
        </w:rPr>
        <w:t>6</w:t>
      </w:r>
      <w:r>
        <w:rPr>
          <w:rFonts w:ascii="宋体" w:hAnsi="宋体" w:eastAsia="宋体" w:cs="华文楷体"/>
          <w:sz w:val="28"/>
          <w:szCs w:val="28"/>
        </w:rPr>
        <w:t xml:space="preserve">   </w:t>
      </w:r>
      <w:r>
        <w:rPr>
          <w:rFonts w:hint="eastAsia" w:ascii="宋体" w:hAnsi="宋体" w:eastAsia="宋体" w:cs="华文楷体"/>
          <w:sz w:val="28"/>
          <w:szCs w:val="28"/>
          <w:lang w:val="en-US" w:eastAsia="zh-CN"/>
        </w:rPr>
        <w:t xml:space="preserve"> </w:t>
      </w:r>
      <w:r>
        <w:rPr>
          <w:rFonts w:hint="eastAsia" w:ascii="宋体" w:hAnsi="宋体" w:eastAsia="宋体"/>
          <w:sz w:val="28"/>
          <w:szCs w:val="28"/>
        </w:rPr>
        <w:t>单元式空气调节机能效限定值及能源效率等级</w:t>
      </w:r>
    </w:p>
    <w:p>
      <w:pPr>
        <w:ind w:firstLine="560" w:firstLineChars="200"/>
        <w:rPr>
          <w:rFonts w:hint="default" w:ascii="宋体" w:hAnsi="宋体" w:eastAsia="宋体"/>
          <w:sz w:val="28"/>
          <w:szCs w:val="28"/>
          <w:lang w:val="en-US" w:eastAsia="zh-CN"/>
        </w:rPr>
      </w:pPr>
      <w:r>
        <w:rPr>
          <w:rFonts w:hint="eastAsia" w:ascii="宋体" w:hAnsi="宋体" w:eastAsia="宋体"/>
          <w:sz w:val="28"/>
          <w:szCs w:val="28"/>
          <w:lang w:val="en-US" w:eastAsia="zh-CN"/>
        </w:rPr>
        <w:t>GB 25130    单元式空气调节机 安全要求</w:t>
      </w:r>
    </w:p>
    <w:p>
      <w:pPr>
        <w:ind w:firstLine="560" w:firstLineChars="200"/>
        <w:rPr>
          <w:rFonts w:ascii="宋体" w:hAnsi="宋体" w:eastAsia="宋体" w:cs="华文楷体"/>
          <w:sz w:val="28"/>
          <w:szCs w:val="28"/>
        </w:rPr>
      </w:pPr>
      <w:r>
        <w:rPr>
          <w:rFonts w:hint="eastAsia" w:ascii="宋体" w:hAnsi="宋体" w:eastAsia="宋体" w:cs="华文楷体"/>
          <w:sz w:val="28"/>
          <w:szCs w:val="28"/>
        </w:rPr>
        <w:t xml:space="preserve">JB/T 7249    制冷设备术语  </w:t>
      </w:r>
    </w:p>
    <w:p>
      <w:pPr>
        <w:ind w:firstLine="560" w:firstLineChars="200"/>
        <w:rPr>
          <w:rFonts w:ascii="宋体" w:hAnsi="宋体" w:eastAsia="宋体" w:cs="华文楷体"/>
          <w:sz w:val="28"/>
          <w:szCs w:val="28"/>
        </w:rPr>
      </w:pPr>
      <w:r>
        <w:rPr>
          <w:rFonts w:hint="eastAsia" w:ascii="宋体" w:hAnsi="宋体" w:eastAsia="宋体" w:cs="华文楷体"/>
          <w:sz w:val="28"/>
          <w:szCs w:val="28"/>
        </w:rPr>
        <w:t>T</w:t>
      </w:r>
      <w:r>
        <w:rPr>
          <w:rFonts w:ascii="宋体" w:hAnsi="宋体" w:eastAsia="宋体" w:cs="华文楷体"/>
          <w:sz w:val="28"/>
          <w:szCs w:val="28"/>
        </w:rPr>
        <w:t>/CAQP 015</w:t>
      </w:r>
      <w:bookmarkStart w:id="0" w:name="_Hlk37979563"/>
      <w:r>
        <w:rPr>
          <w:rFonts w:hint="eastAsia" w:ascii="宋体" w:hAnsi="宋体" w:eastAsia="宋体" w:cs="华文楷体"/>
          <w:sz w:val="28"/>
          <w:szCs w:val="28"/>
        </w:rPr>
        <w:t xml:space="preserve"> T</w:t>
      </w:r>
      <w:r>
        <w:rPr>
          <w:rFonts w:ascii="宋体" w:hAnsi="宋体" w:eastAsia="宋体" w:cs="华文楷体"/>
          <w:sz w:val="28"/>
          <w:szCs w:val="28"/>
        </w:rPr>
        <w:t>/ESF 0001</w:t>
      </w:r>
      <w:bookmarkEnd w:id="0"/>
      <w:r>
        <w:rPr>
          <w:rFonts w:hint="eastAsia" w:ascii="宋体" w:hAnsi="宋体" w:eastAsia="宋体" w:cs="华文楷体"/>
          <w:sz w:val="28"/>
          <w:szCs w:val="28"/>
          <w:lang w:val="en-US" w:eastAsia="zh-CN"/>
        </w:rPr>
        <w:t xml:space="preserve"> </w:t>
      </w:r>
      <w:r>
        <w:rPr>
          <w:rFonts w:hint="eastAsia" w:ascii="宋体" w:hAnsi="宋体" w:eastAsia="宋体" w:cs="华文楷体"/>
          <w:sz w:val="28"/>
          <w:szCs w:val="28"/>
        </w:rPr>
        <w:t>“领跑者”标准编制通则</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四、主要工作过程</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1、开展调研</w:t>
      </w:r>
    </w:p>
    <w:p>
      <w:pPr>
        <w:ind w:firstLine="560" w:firstLineChars="200"/>
        <w:rPr>
          <w:rFonts w:ascii="宋体" w:hAnsi="宋体" w:eastAsia="宋体" w:cs="华文楷体"/>
          <w:sz w:val="28"/>
          <w:szCs w:val="28"/>
        </w:rPr>
      </w:pPr>
      <w:r>
        <w:rPr>
          <w:rFonts w:hint="eastAsia" w:ascii="宋体" w:hAnsi="宋体" w:eastAsia="宋体" w:cs="华文楷体"/>
          <w:color w:val="000000" w:themeColor="text1"/>
          <w:sz w:val="28"/>
          <w:szCs w:val="28"/>
          <w:highlight w:val="none"/>
        </w:rPr>
        <w:t>20</w:t>
      </w:r>
      <w:r>
        <w:rPr>
          <w:rFonts w:hint="eastAsia" w:ascii="宋体" w:hAnsi="宋体" w:eastAsia="宋体" w:cs="华文楷体"/>
          <w:color w:val="000000" w:themeColor="text1"/>
          <w:sz w:val="28"/>
          <w:szCs w:val="28"/>
          <w:highlight w:val="none"/>
          <w:lang w:val="en-US" w:eastAsia="zh-CN"/>
        </w:rPr>
        <w:t>21</w:t>
      </w:r>
      <w:r>
        <w:rPr>
          <w:rFonts w:hint="eastAsia" w:ascii="宋体" w:hAnsi="宋体" w:eastAsia="宋体" w:cs="华文楷体"/>
          <w:color w:val="000000" w:themeColor="text1"/>
          <w:sz w:val="28"/>
          <w:szCs w:val="28"/>
          <w:highlight w:val="none"/>
        </w:rPr>
        <w:t>年</w:t>
      </w:r>
      <w:r>
        <w:rPr>
          <w:rFonts w:hint="eastAsia" w:ascii="宋体" w:hAnsi="宋体" w:eastAsia="宋体" w:cs="华文楷体"/>
          <w:color w:val="000000" w:themeColor="text1"/>
          <w:sz w:val="28"/>
          <w:szCs w:val="28"/>
          <w:highlight w:val="none"/>
          <w:lang w:val="en-US" w:eastAsia="zh-CN"/>
        </w:rPr>
        <w:t>3</w:t>
      </w:r>
      <w:r>
        <w:rPr>
          <w:rFonts w:hint="eastAsia" w:ascii="宋体" w:hAnsi="宋体" w:eastAsia="宋体" w:cs="华文楷体"/>
          <w:color w:val="000000" w:themeColor="text1"/>
          <w:sz w:val="28"/>
          <w:szCs w:val="28"/>
          <w:highlight w:val="none"/>
        </w:rPr>
        <w:t>月</w:t>
      </w:r>
      <w:r>
        <w:rPr>
          <w:rFonts w:hint="eastAsia" w:ascii="宋体" w:hAnsi="宋体" w:eastAsia="宋体" w:cs="华文楷体"/>
          <w:color w:val="000000" w:themeColor="text1"/>
          <w:sz w:val="28"/>
          <w:szCs w:val="28"/>
        </w:rPr>
        <w:t>合肥</w:t>
      </w:r>
      <w:bookmarkStart w:id="2" w:name="_GoBack"/>
      <w:bookmarkEnd w:id="2"/>
      <w:r>
        <w:rPr>
          <w:rFonts w:hint="eastAsia" w:ascii="宋体" w:hAnsi="宋体" w:eastAsia="宋体" w:cs="华文楷体"/>
          <w:sz w:val="28"/>
          <w:szCs w:val="28"/>
        </w:rPr>
        <w:t>通用机电产品检测院有限公司针对</w:t>
      </w:r>
      <w:r>
        <w:rPr>
          <w:rFonts w:hint="eastAsia" w:ascii="宋体" w:hAnsi="宋体" w:eastAsia="宋体" w:cs="华文楷体"/>
          <w:sz w:val="28"/>
          <w:szCs w:val="28"/>
          <w:lang w:val="en-US" w:eastAsia="zh-CN"/>
        </w:rPr>
        <w:t>单元式空调机组</w:t>
      </w:r>
      <w:r>
        <w:rPr>
          <w:rFonts w:hint="eastAsia" w:ascii="宋体" w:hAnsi="宋体" w:eastAsia="宋体" w:cs="华文楷体"/>
          <w:sz w:val="28"/>
          <w:szCs w:val="28"/>
        </w:rPr>
        <w:t>产品及企业标准开展相关调研。</w:t>
      </w:r>
    </w:p>
    <w:p>
      <w:pPr>
        <w:ind w:firstLine="560" w:firstLineChars="200"/>
        <w:rPr>
          <w:rFonts w:hint="default" w:ascii="宋体" w:hAnsi="宋体" w:eastAsia="宋体" w:cs="华文楷体"/>
          <w:sz w:val="28"/>
          <w:szCs w:val="28"/>
          <w:lang w:val="en-US"/>
        </w:rPr>
      </w:pPr>
      <w:r>
        <w:rPr>
          <w:rFonts w:hint="eastAsia" w:ascii="宋体" w:hAnsi="宋体" w:eastAsia="宋体" w:cs="华文楷体"/>
          <w:sz w:val="28"/>
          <w:szCs w:val="28"/>
          <w:lang w:val="en-US" w:eastAsia="zh-CN"/>
        </w:rPr>
        <w:t>单元式空气调节机</w:t>
      </w:r>
      <w:r>
        <w:rPr>
          <w:rFonts w:hint="eastAsia" w:ascii="宋体" w:hAnsi="宋体" w:eastAsia="宋体" w:cs="华文楷体"/>
          <w:sz w:val="28"/>
          <w:szCs w:val="28"/>
        </w:rPr>
        <w:t>主要包括</w:t>
      </w:r>
      <w:r>
        <w:rPr>
          <w:rFonts w:hint="eastAsia" w:ascii="宋体" w:hAnsi="宋体" w:eastAsia="宋体" w:cs="华文楷体"/>
          <w:sz w:val="28"/>
          <w:szCs w:val="28"/>
          <w:lang w:val="en-US" w:eastAsia="zh-CN"/>
        </w:rPr>
        <w:t>风冷式和水冷式机组，2020年，单元式空气调节机组实现137亿元的市场规模，由于疫情影响，与2019年相比下滑15%左右。随着疫情的缓解，国内各行业复工复产有序进行，后期市场规模有望新上一个台阶。</w:t>
      </w:r>
    </w:p>
    <w:p>
      <w:pPr>
        <w:ind w:firstLine="560" w:firstLineChars="200"/>
        <w:rPr>
          <w:rFonts w:ascii="宋体" w:hAnsi="宋体" w:eastAsia="宋体" w:cs="华文楷体"/>
          <w:sz w:val="28"/>
          <w:szCs w:val="28"/>
        </w:rPr>
      </w:pPr>
      <w:r>
        <w:rPr>
          <w:rFonts w:hint="eastAsia" w:ascii="宋体" w:hAnsi="宋体" w:eastAsia="宋体" w:cs="华文楷体"/>
          <w:sz w:val="28"/>
          <w:szCs w:val="28"/>
          <w:lang w:val="en-US" w:eastAsia="zh-CN"/>
        </w:rPr>
        <w:t>随着双碳目标的提出，空调行业面临巨大的压力和挑战，同时也是一个巨大的机遇。</w:t>
      </w:r>
      <w:r>
        <w:rPr>
          <w:rFonts w:hint="eastAsia" w:ascii="宋体" w:hAnsi="宋体" w:eastAsia="宋体" w:cs="华文楷体"/>
          <w:sz w:val="28"/>
          <w:szCs w:val="28"/>
        </w:rPr>
        <w:t>而此时，企业标准的先进性显得尤为重要，产品的企业标准引导着企业的产品</w:t>
      </w:r>
      <w:r>
        <w:rPr>
          <w:rFonts w:hint="eastAsia" w:ascii="宋体" w:hAnsi="宋体" w:eastAsia="宋体" w:cs="华文楷体"/>
          <w:sz w:val="28"/>
          <w:szCs w:val="28"/>
          <w:lang w:val="en-US" w:eastAsia="zh-CN"/>
        </w:rPr>
        <w:t>性能和质量</w:t>
      </w:r>
      <w:r>
        <w:rPr>
          <w:rFonts w:hint="eastAsia" w:ascii="宋体" w:hAnsi="宋体" w:eastAsia="宋体" w:cs="华文楷体"/>
          <w:sz w:val="28"/>
          <w:szCs w:val="28"/>
        </w:rPr>
        <w:t>，规范和提高企业标准的技术要求</w:t>
      </w:r>
      <w:r>
        <w:rPr>
          <w:rFonts w:hint="eastAsia" w:ascii="宋体" w:hAnsi="宋体" w:eastAsia="宋体" w:cs="华文楷体"/>
          <w:sz w:val="28"/>
          <w:szCs w:val="28"/>
          <w:lang w:val="en-US" w:eastAsia="zh-CN"/>
        </w:rPr>
        <w:t>可以激发企业的潜力，引导生产企业设计和制造出高效、节能、绿色的产品。</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2、成立标准起草组</w:t>
      </w:r>
    </w:p>
    <w:p>
      <w:pPr>
        <w:ind w:firstLine="560" w:firstLineChars="200"/>
        <w:rPr>
          <w:rFonts w:ascii="宋体" w:hAnsi="宋体" w:eastAsia="宋体" w:cs="华文楷体"/>
          <w:sz w:val="28"/>
          <w:szCs w:val="28"/>
        </w:rPr>
      </w:pPr>
      <w:r>
        <w:rPr>
          <w:rFonts w:hint="eastAsia" w:ascii="宋体" w:hAnsi="宋体" w:eastAsia="宋体" w:cs="华文楷体"/>
          <w:sz w:val="28"/>
          <w:szCs w:val="28"/>
        </w:rPr>
        <w:t>本标准的主要起草单位为合肥通用机电产品检测院有限公司。</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3、通过标准立项</w:t>
      </w:r>
    </w:p>
    <w:p>
      <w:pPr>
        <w:ind w:firstLine="560" w:firstLineChars="200"/>
        <w:rPr>
          <w:rFonts w:ascii="宋体" w:hAnsi="宋体" w:eastAsia="宋体" w:cs="华文楷体"/>
          <w:sz w:val="28"/>
          <w:szCs w:val="28"/>
        </w:rPr>
      </w:pPr>
      <w:r>
        <w:rPr>
          <w:rFonts w:hint="eastAsia" w:ascii="宋体" w:hAnsi="宋体" w:eastAsia="宋体" w:cs="华文楷体"/>
          <w:sz w:val="28"/>
          <w:szCs w:val="28"/>
        </w:rPr>
        <w:t>本标准由</w:t>
      </w:r>
      <w:r>
        <w:rPr>
          <w:rFonts w:hint="eastAsia" w:ascii="宋体" w:hAnsi="宋体" w:eastAsia="宋体" w:cs="华文楷体"/>
          <w:sz w:val="28"/>
          <w:szCs w:val="28"/>
          <w:lang w:val="en-US" w:eastAsia="zh-CN"/>
        </w:rPr>
        <w:t>中国制冷空调工业协会和中国节能协会</w:t>
      </w:r>
      <w:r>
        <w:rPr>
          <w:rFonts w:hint="eastAsia" w:ascii="宋体" w:hAnsi="宋体" w:eastAsia="宋体" w:cs="华文楷体"/>
          <w:sz w:val="28"/>
          <w:szCs w:val="28"/>
        </w:rPr>
        <w:t>共同提出并归口，按照</w:t>
      </w:r>
      <w:r>
        <w:rPr>
          <w:rFonts w:hint="eastAsia" w:ascii="宋体" w:hAnsi="宋体" w:eastAsia="宋体" w:cs="华文楷体"/>
          <w:color w:val="000000" w:themeColor="text1"/>
          <w:sz w:val="28"/>
          <w:szCs w:val="28"/>
          <w:lang w:val="en-US" w:eastAsia="zh-CN"/>
        </w:rPr>
        <w:t>要求</w:t>
      </w:r>
      <w:r>
        <w:rPr>
          <w:rFonts w:hint="eastAsia" w:ascii="宋体" w:hAnsi="宋体" w:eastAsia="宋体" w:cs="华文楷体"/>
          <w:sz w:val="28"/>
          <w:szCs w:val="28"/>
        </w:rPr>
        <w:t>于</w:t>
      </w:r>
      <w:r>
        <w:rPr>
          <w:rFonts w:hint="eastAsia" w:ascii="宋体" w:hAnsi="宋体" w:eastAsia="宋体" w:cs="华文楷体"/>
          <w:sz w:val="28"/>
          <w:szCs w:val="28"/>
          <w:highlight w:val="none"/>
        </w:rPr>
        <w:t>2</w:t>
      </w:r>
      <w:r>
        <w:rPr>
          <w:rFonts w:ascii="宋体" w:hAnsi="宋体" w:eastAsia="宋体" w:cs="华文楷体"/>
          <w:sz w:val="28"/>
          <w:szCs w:val="28"/>
          <w:highlight w:val="none"/>
        </w:rPr>
        <w:t>02</w:t>
      </w:r>
      <w:r>
        <w:rPr>
          <w:rFonts w:hint="eastAsia" w:ascii="宋体" w:hAnsi="宋体" w:eastAsia="宋体" w:cs="华文楷体"/>
          <w:sz w:val="28"/>
          <w:szCs w:val="28"/>
          <w:highlight w:val="none"/>
          <w:lang w:val="en-US" w:eastAsia="zh-CN"/>
        </w:rPr>
        <w:t>1</w:t>
      </w:r>
      <w:r>
        <w:rPr>
          <w:rFonts w:hint="eastAsia" w:ascii="宋体" w:hAnsi="宋体" w:eastAsia="宋体" w:cs="华文楷体"/>
          <w:sz w:val="28"/>
          <w:szCs w:val="28"/>
          <w:highlight w:val="none"/>
        </w:rPr>
        <w:t>年</w:t>
      </w:r>
      <w:r>
        <w:rPr>
          <w:rFonts w:hint="eastAsia" w:ascii="宋体" w:hAnsi="宋体" w:eastAsia="宋体" w:cs="华文楷体"/>
          <w:sz w:val="28"/>
          <w:szCs w:val="28"/>
          <w:highlight w:val="none"/>
          <w:lang w:val="en-US" w:eastAsia="zh-CN"/>
        </w:rPr>
        <w:t>4</w:t>
      </w:r>
      <w:r>
        <w:rPr>
          <w:rFonts w:hint="eastAsia" w:ascii="宋体" w:hAnsi="宋体" w:eastAsia="宋体" w:cs="华文楷体"/>
          <w:sz w:val="28"/>
          <w:szCs w:val="28"/>
          <w:highlight w:val="none"/>
        </w:rPr>
        <w:t>月</w:t>
      </w:r>
      <w:r>
        <w:rPr>
          <w:rFonts w:hint="eastAsia" w:ascii="宋体" w:hAnsi="宋体" w:eastAsia="宋体" w:cs="华文楷体"/>
          <w:sz w:val="28"/>
          <w:szCs w:val="28"/>
        </w:rPr>
        <w:t>完成标准立项。</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4、行业专家研讨，形成征求意见稿</w:t>
      </w:r>
    </w:p>
    <w:p>
      <w:pPr>
        <w:ind w:firstLine="560" w:firstLineChars="200"/>
        <w:rPr>
          <w:rFonts w:ascii="宋体" w:hAnsi="宋体" w:eastAsia="宋体" w:cs="华文楷体"/>
          <w:sz w:val="28"/>
          <w:szCs w:val="28"/>
        </w:rPr>
      </w:pPr>
      <w:r>
        <w:rPr>
          <w:rFonts w:ascii="宋体" w:hAnsi="宋体" w:eastAsia="宋体" w:cs="华文楷体"/>
          <w:sz w:val="28"/>
          <w:szCs w:val="28"/>
        </w:rPr>
        <w:t>202</w:t>
      </w:r>
      <w:r>
        <w:rPr>
          <w:rFonts w:hint="eastAsia" w:ascii="宋体" w:hAnsi="宋体" w:eastAsia="宋体" w:cs="华文楷体"/>
          <w:sz w:val="28"/>
          <w:szCs w:val="28"/>
          <w:lang w:val="en-US" w:eastAsia="zh-CN"/>
        </w:rPr>
        <w:t>1</w:t>
      </w:r>
      <w:r>
        <w:rPr>
          <w:rFonts w:ascii="宋体" w:hAnsi="宋体" w:eastAsia="宋体" w:cs="华文楷体"/>
          <w:sz w:val="28"/>
          <w:szCs w:val="28"/>
        </w:rPr>
        <w:t>年</w:t>
      </w:r>
      <w:r>
        <w:rPr>
          <w:rFonts w:hint="eastAsia" w:ascii="宋体" w:hAnsi="宋体" w:eastAsia="宋体" w:cs="华文楷体"/>
          <w:sz w:val="28"/>
          <w:szCs w:val="28"/>
          <w:lang w:val="en-US" w:eastAsia="zh-CN"/>
        </w:rPr>
        <w:t>5</w:t>
      </w:r>
      <w:r>
        <w:rPr>
          <w:rFonts w:ascii="宋体" w:hAnsi="宋体" w:eastAsia="宋体" w:cs="华文楷体"/>
          <w:sz w:val="28"/>
          <w:szCs w:val="28"/>
        </w:rPr>
        <w:t>月</w:t>
      </w:r>
      <w:r>
        <w:rPr>
          <w:rFonts w:hint="eastAsia" w:ascii="宋体" w:hAnsi="宋体" w:eastAsia="宋体" w:cs="华文楷体"/>
          <w:sz w:val="28"/>
          <w:szCs w:val="28"/>
          <w:lang w:val="en-US" w:eastAsia="zh-CN"/>
        </w:rPr>
        <w:t>21</w:t>
      </w:r>
      <w:r>
        <w:rPr>
          <w:rFonts w:hint="eastAsia" w:ascii="宋体" w:hAnsi="宋体" w:eastAsia="宋体" w:cs="华文楷体"/>
          <w:sz w:val="28"/>
          <w:szCs w:val="28"/>
        </w:rPr>
        <w:t>日起，标准起草组经过多次讨论和专家咨询，进一步确定标准的主体内容，形成征求意见稿。</w:t>
      </w:r>
    </w:p>
    <w:p>
      <w:pPr>
        <w:ind w:firstLine="562" w:firstLineChars="200"/>
        <w:rPr>
          <w:rFonts w:ascii="宋体" w:hAnsi="宋体" w:eastAsia="宋体" w:cs="华文楷体"/>
          <w:b/>
          <w:bCs/>
          <w:sz w:val="28"/>
          <w:szCs w:val="28"/>
          <w:highlight w:val="yellow"/>
        </w:rPr>
      </w:pPr>
      <w:r>
        <w:rPr>
          <w:rFonts w:hint="eastAsia" w:ascii="宋体" w:hAnsi="宋体" w:eastAsia="宋体" w:cs="华文楷体"/>
          <w:b/>
          <w:bCs/>
          <w:sz w:val="28"/>
          <w:szCs w:val="28"/>
          <w:highlight w:val="yellow"/>
        </w:rPr>
        <w:t>5、公开征求意见稿</w:t>
      </w:r>
    </w:p>
    <w:p>
      <w:pPr>
        <w:ind w:firstLine="560" w:firstLineChars="200"/>
        <w:rPr>
          <w:rFonts w:ascii="宋体" w:hAnsi="宋体" w:eastAsia="宋体" w:cs="华文楷体"/>
          <w:sz w:val="28"/>
          <w:szCs w:val="28"/>
          <w:highlight w:val="yellow"/>
        </w:rPr>
      </w:pPr>
      <w:r>
        <w:rPr>
          <w:rFonts w:ascii="宋体" w:hAnsi="宋体" w:eastAsia="宋体" w:cs="华文楷体"/>
          <w:sz w:val="28"/>
          <w:szCs w:val="28"/>
          <w:highlight w:val="yellow"/>
        </w:rPr>
        <w:t>2020年4月</w:t>
      </w:r>
      <w:r>
        <w:rPr>
          <w:rFonts w:hint="eastAsia" w:ascii="宋体" w:hAnsi="宋体" w:eastAsia="宋体" w:cs="华文楷体"/>
          <w:sz w:val="28"/>
          <w:szCs w:val="28"/>
          <w:highlight w:val="yellow"/>
        </w:rPr>
        <w:t>28日至</w:t>
      </w:r>
      <w:r>
        <w:rPr>
          <w:rFonts w:ascii="宋体" w:hAnsi="宋体" w:eastAsia="宋体" w:cs="华文楷体"/>
          <w:sz w:val="28"/>
          <w:szCs w:val="28"/>
          <w:highlight w:val="yellow"/>
        </w:rPr>
        <w:t>2020年</w:t>
      </w:r>
      <w:r>
        <w:rPr>
          <w:rFonts w:hint="eastAsia" w:ascii="宋体" w:hAnsi="宋体" w:eastAsia="宋体" w:cs="华文楷体"/>
          <w:sz w:val="28"/>
          <w:szCs w:val="28"/>
          <w:highlight w:val="yellow"/>
        </w:rPr>
        <w:t>5</w:t>
      </w:r>
      <w:r>
        <w:rPr>
          <w:rFonts w:ascii="宋体" w:hAnsi="宋体" w:eastAsia="宋体" w:cs="华文楷体"/>
          <w:sz w:val="28"/>
          <w:szCs w:val="28"/>
          <w:highlight w:val="yellow"/>
        </w:rPr>
        <w:t>月</w:t>
      </w:r>
      <w:r>
        <w:rPr>
          <w:rFonts w:hint="eastAsia" w:ascii="宋体" w:hAnsi="宋体" w:eastAsia="宋体" w:cs="华文楷体"/>
          <w:sz w:val="28"/>
          <w:szCs w:val="28"/>
          <w:highlight w:val="yellow"/>
        </w:rPr>
        <w:t>29日，通过中国质量万里行促进会官方网站向全社会公开征求意见，无意见反馈。</w:t>
      </w:r>
    </w:p>
    <w:p>
      <w:pPr>
        <w:rPr>
          <w:rFonts w:ascii="宋体" w:hAnsi="宋体" w:eastAsia="宋体" w:cs="华文楷体"/>
          <w:b/>
          <w:bCs/>
          <w:sz w:val="28"/>
          <w:szCs w:val="28"/>
        </w:rPr>
      </w:pPr>
      <w:r>
        <w:rPr>
          <w:rFonts w:hint="eastAsia" w:ascii="宋体" w:hAnsi="宋体" w:eastAsia="宋体" w:cs="华文楷体"/>
          <w:b/>
          <w:bCs/>
          <w:sz w:val="28"/>
          <w:szCs w:val="28"/>
        </w:rPr>
        <w:t>五、标准主要技术内容</w:t>
      </w:r>
    </w:p>
    <w:p>
      <w:pPr>
        <w:rPr>
          <w:rFonts w:ascii="宋体" w:hAnsi="宋体" w:eastAsia="宋体" w:cs="华文楷体"/>
          <w:b/>
          <w:bCs/>
          <w:sz w:val="28"/>
          <w:szCs w:val="28"/>
        </w:rPr>
      </w:pPr>
      <w:r>
        <w:rPr>
          <w:rFonts w:hint="eastAsia" w:ascii="宋体" w:hAnsi="宋体" w:eastAsia="宋体" w:cs="华文楷体"/>
          <w:b/>
          <w:bCs/>
          <w:sz w:val="28"/>
          <w:szCs w:val="28"/>
        </w:rPr>
        <w:t>1、基础部分（第一至三章）</w:t>
      </w:r>
    </w:p>
    <w:p>
      <w:pPr>
        <w:ind w:firstLine="560" w:firstLineChars="200"/>
        <w:rPr>
          <w:rFonts w:ascii="宋体" w:hAnsi="宋体" w:eastAsia="宋体" w:cs="华文楷体"/>
          <w:sz w:val="28"/>
          <w:szCs w:val="28"/>
        </w:rPr>
      </w:pPr>
      <w:r>
        <w:rPr>
          <w:rFonts w:hint="eastAsia" w:ascii="宋体" w:hAnsi="宋体" w:eastAsia="宋体" w:cs="华文楷体"/>
          <w:sz w:val="28"/>
          <w:szCs w:val="28"/>
        </w:rPr>
        <w:t>对标准的使用范围、所涉及规范性引用文件和术语定义进行规定。</w:t>
      </w:r>
    </w:p>
    <w:p>
      <w:pPr>
        <w:rPr>
          <w:rFonts w:ascii="宋体" w:hAnsi="宋体" w:eastAsia="宋体" w:cs="华文楷体"/>
          <w:b/>
          <w:bCs/>
          <w:sz w:val="28"/>
          <w:szCs w:val="28"/>
        </w:rPr>
      </w:pPr>
      <w:r>
        <w:rPr>
          <w:rFonts w:hint="eastAsia" w:ascii="宋体" w:hAnsi="宋体" w:eastAsia="宋体" w:cs="华文楷体"/>
          <w:b/>
          <w:bCs/>
          <w:sz w:val="28"/>
          <w:szCs w:val="28"/>
        </w:rPr>
        <w:t>2、评价指标体系（第四章）</w:t>
      </w:r>
    </w:p>
    <w:p>
      <w:pPr>
        <w:rPr>
          <w:rFonts w:ascii="宋体" w:hAnsi="宋体" w:eastAsia="宋体" w:cs="华文楷体"/>
          <w:sz w:val="28"/>
          <w:szCs w:val="28"/>
        </w:rPr>
      </w:pPr>
      <w:r>
        <w:rPr>
          <w:rFonts w:ascii="宋体" w:hAnsi="宋体" w:eastAsia="宋体" w:cs="华文楷体"/>
          <w:sz w:val="28"/>
          <w:szCs w:val="28"/>
        </w:rPr>
        <w:t xml:space="preserve">4.1 </w:t>
      </w:r>
      <w:r>
        <w:rPr>
          <w:rFonts w:hint="eastAsia" w:ascii="宋体" w:hAnsi="宋体" w:eastAsia="宋体" w:cs="华文楷体"/>
          <w:sz w:val="28"/>
          <w:szCs w:val="28"/>
        </w:rPr>
        <w:t>基本要求</w:t>
      </w:r>
    </w:p>
    <w:p>
      <w:pPr>
        <w:rPr>
          <w:rFonts w:ascii="宋体" w:hAnsi="宋体" w:eastAsia="宋体" w:cs="华文楷体"/>
          <w:sz w:val="28"/>
          <w:szCs w:val="28"/>
        </w:rPr>
      </w:pPr>
      <w:r>
        <w:rPr>
          <w:rFonts w:hint="eastAsia" w:ascii="宋体" w:hAnsi="宋体" w:eastAsia="宋体" w:cs="华文楷体"/>
          <w:sz w:val="28"/>
          <w:szCs w:val="28"/>
        </w:rPr>
        <w:t>4</w:t>
      </w:r>
      <w:r>
        <w:rPr>
          <w:rFonts w:ascii="宋体" w:hAnsi="宋体" w:eastAsia="宋体" w:cs="华文楷体"/>
          <w:sz w:val="28"/>
          <w:szCs w:val="28"/>
        </w:rPr>
        <w:t>.1.</w:t>
      </w:r>
      <w:r>
        <w:rPr>
          <w:rFonts w:hint="eastAsia" w:ascii="宋体" w:hAnsi="宋体" w:eastAsia="宋体" w:cs="华文楷体"/>
          <w:sz w:val="28"/>
          <w:szCs w:val="28"/>
        </w:rPr>
        <w:t>1近三年，企业无较大环境、安全、质量事故；</w:t>
      </w:r>
    </w:p>
    <w:p>
      <w:pPr>
        <w:rPr>
          <w:rFonts w:ascii="宋体" w:hAnsi="宋体" w:eastAsia="宋体" w:cs="华文楷体"/>
          <w:sz w:val="28"/>
          <w:szCs w:val="28"/>
        </w:rPr>
      </w:pPr>
      <w:r>
        <w:rPr>
          <w:rFonts w:hint="eastAsia" w:ascii="宋体" w:hAnsi="宋体" w:eastAsia="宋体" w:cs="华文楷体"/>
          <w:sz w:val="28"/>
          <w:szCs w:val="28"/>
        </w:rPr>
        <w:t>4</w:t>
      </w:r>
      <w:r>
        <w:rPr>
          <w:rFonts w:ascii="宋体" w:hAnsi="宋体" w:eastAsia="宋体" w:cs="华文楷体"/>
          <w:sz w:val="28"/>
          <w:szCs w:val="28"/>
        </w:rPr>
        <w:t>.1.</w:t>
      </w:r>
      <w:r>
        <w:rPr>
          <w:rFonts w:hint="eastAsia" w:ascii="宋体" w:hAnsi="宋体" w:eastAsia="宋体" w:cs="华文楷体"/>
          <w:sz w:val="28"/>
          <w:szCs w:val="28"/>
        </w:rPr>
        <w:t>2企业应无不良信誉记录；</w:t>
      </w:r>
    </w:p>
    <w:p>
      <w:pPr>
        <w:rPr>
          <w:rFonts w:ascii="宋体" w:hAnsi="宋体" w:eastAsia="宋体" w:cs="华文楷体"/>
          <w:sz w:val="28"/>
          <w:szCs w:val="28"/>
        </w:rPr>
      </w:pPr>
      <w:r>
        <w:rPr>
          <w:rFonts w:hint="eastAsia" w:ascii="宋体" w:hAnsi="宋体" w:eastAsia="宋体" w:cs="华文楷体"/>
          <w:sz w:val="28"/>
          <w:szCs w:val="28"/>
        </w:rPr>
        <w:t>4</w:t>
      </w:r>
      <w:r>
        <w:rPr>
          <w:rFonts w:ascii="宋体" w:hAnsi="宋体" w:eastAsia="宋体" w:cs="华文楷体"/>
          <w:sz w:val="28"/>
          <w:szCs w:val="28"/>
        </w:rPr>
        <w:t>.1.</w:t>
      </w:r>
      <w:r>
        <w:rPr>
          <w:rFonts w:hint="eastAsia" w:ascii="宋体" w:hAnsi="宋体" w:eastAsia="宋体" w:cs="华文楷体"/>
          <w:sz w:val="28"/>
          <w:szCs w:val="28"/>
        </w:rPr>
        <w:t>3企业应建立并运行符合产品和服务的管理体系；</w:t>
      </w:r>
    </w:p>
    <w:p>
      <w:pPr>
        <w:rPr>
          <w:rFonts w:ascii="宋体" w:hAnsi="宋体" w:eastAsia="宋体" w:cs="华文楷体"/>
          <w:sz w:val="28"/>
          <w:szCs w:val="28"/>
        </w:rPr>
      </w:pPr>
      <w:r>
        <w:rPr>
          <w:rFonts w:hint="eastAsia" w:ascii="宋体" w:hAnsi="宋体" w:eastAsia="宋体" w:cs="华文楷体"/>
          <w:sz w:val="28"/>
          <w:szCs w:val="28"/>
        </w:rPr>
        <w:t>4</w:t>
      </w:r>
      <w:r>
        <w:rPr>
          <w:rFonts w:ascii="宋体" w:hAnsi="宋体" w:eastAsia="宋体" w:cs="华文楷体"/>
          <w:sz w:val="28"/>
          <w:szCs w:val="28"/>
        </w:rPr>
        <w:t>.1.</w:t>
      </w:r>
      <w:r>
        <w:rPr>
          <w:rFonts w:hint="eastAsia" w:ascii="宋体" w:hAnsi="宋体" w:eastAsia="宋体" w:cs="华文楷体"/>
          <w:sz w:val="28"/>
          <w:szCs w:val="28"/>
        </w:rPr>
        <w:t>4企业要具备科研能力；</w:t>
      </w:r>
    </w:p>
    <w:p>
      <w:pPr>
        <w:rPr>
          <w:rFonts w:ascii="宋体" w:hAnsi="宋体" w:eastAsia="宋体" w:cs="华文楷体"/>
          <w:sz w:val="28"/>
          <w:szCs w:val="28"/>
        </w:rPr>
      </w:pPr>
      <w:r>
        <w:rPr>
          <w:rFonts w:ascii="宋体" w:hAnsi="宋体" w:eastAsia="宋体" w:cs="华文楷体"/>
          <w:sz w:val="28"/>
          <w:szCs w:val="28"/>
        </w:rPr>
        <w:t>4.1.</w:t>
      </w:r>
      <w:r>
        <w:rPr>
          <w:rFonts w:hint="eastAsia" w:ascii="宋体" w:hAnsi="宋体" w:eastAsia="宋体" w:cs="华文楷体"/>
          <w:sz w:val="28"/>
          <w:szCs w:val="28"/>
        </w:rPr>
        <w:t>5 产品应为量产产品；</w:t>
      </w:r>
    </w:p>
    <w:p>
      <w:pPr>
        <w:rPr>
          <w:rFonts w:hint="eastAsia" w:ascii="宋体" w:hAnsi="宋体" w:eastAsia="宋体" w:cs="华文楷体"/>
          <w:sz w:val="28"/>
          <w:szCs w:val="28"/>
        </w:rPr>
      </w:pPr>
      <w:r>
        <w:rPr>
          <w:rFonts w:hint="eastAsia" w:ascii="宋体" w:hAnsi="宋体" w:eastAsia="宋体" w:cs="华文楷体"/>
          <w:sz w:val="28"/>
          <w:szCs w:val="28"/>
        </w:rPr>
        <w:t xml:space="preserve">4.1.6 产品应符合GB/T </w:t>
      </w:r>
      <w:r>
        <w:rPr>
          <w:rFonts w:hint="eastAsia" w:ascii="宋体" w:hAnsi="宋体" w:eastAsia="宋体" w:cs="华文楷体"/>
          <w:sz w:val="28"/>
          <w:szCs w:val="28"/>
          <w:lang w:val="en-US" w:eastAsia="zh-CN"/>
        </w:rPr>
        <w:t>17758</w:t>
      </w:r>
      <w:r>
        <w:rPr>
          <w:rFonts w:hint="eastAsia" w:ascii="宋体" w:hAnsi="宋体" w:eastAsia="宋体" w:cs="华文楷体"/>
          <w:sz w:val="28"/>
          <w:szCs w:val="28"/>
        </w:rPr>
        <w:t>的相关要求。</w:t>
      </w:r>
    </w:p>
    <w:p>
      <w:pPr>
        <w:rPr>
          <w:rFonts w:ascii="宋体" w:hAnsi="宋体" w:eastAsia="宋体" w:cs="华文楷体"/>
          <w:sz w:val="28"/>
          <w:szCs w:val="28"/>
        </w:rPr>
      </w:pPr>
      <w:r>
        <w:rPr>
          <w:rFonts w:ascii="宋体" w:hAnsi="宋体" w:eastAsia="宋体" w:cs="华文楷体"/>
          <w:sz w:val="28"/>
          <w:szCs w:val="28"/>
        </w:rPr>
        <w:t>4</w:t>
      </w:r>
      <w:r>
        <w:rPr>
          <w:rFonts w:hint="eastAsia" w:ascii="宋体" w:hAnsi="宋体" w:eastAsia="宋体" w:cs="华文楷体"/>
          <w:sz w:val="28"/>
          <w:szCs w:val="28"/>
        </w:rPr>
        <w:t>.</w:t>
      </w:r>
      <w:r>
        <w:rPr>
          <w:rFonts w:ascii="宋体" w:hAnsi="宋体" w:eastAsia="宋体" w:cs="华文楷体"/>
          <w:sz w:val="28"/>
          <w:szCs w:val="28"/>
        </w:rPr>
        <w:t>2</w:t>
      </w:r>
      <w:r>
        <w:rPr>
          <w:rFonts w:hint="eastAsia" w:ascii="宋体" w:hAnsi="宋体" w:eastAsia="宋体" w:cs="华文楷体"/>
          <w:sz w:val="28"/>
          <w:szCs w:val="28"/>
        </w:rPr>
        <w:t xml:space="preserve"> 评价指标分类</w:t>
      </w:r>
    </w:p>
    <w:p>
      <w:pPr>
        <w:rPr>
          <w:rFonts w:ascii="宋体" w:hAnsi="宋体" w:eastAsia="宋体" w:cs="华文楷体"/>
          <w:sz w:val="28"/>
          <w:szCs w:val="28"/>
        </w:rPr>
      </w:pPr>
      <w:r>
        <w:rPr>
          <w:rFonts w:ascii="宋体" w:hAnsi="宋体" w:eastAsia="宋体" w:cs="华文楷体"/>
          <w:sz w:val="28"/>
          <w:szCs w:val="28"/>
        </w:rPr>
        <w:t xml:space="preserve">4.2.1 </w:t>
      </w:r>
      <w:r>
        <w:rPr>
          <w:rFonts w:hint="eastAsia" w:ascii="宋体" w:hAnsi="宋体" w:eastAsia="宋体" w:cs="华文楷体"/>
          <w:sz w:val="28"/>
          <w:szCs w:val="28"/>
          <w:lang w:val="en-US" w:eastAsia="zh-CN"/>
        </w:rPr>
        <w:t>单元式空气调节机组</w:t>
      </w:r>
      <w:r>
        <w:rPr>
          <w:rFonts w:hint="eastAsia" w:ascii="宋体" w:hAnsi="宋体" w:eastAsia="宋体" w:cs="华文楷体"/>
          <w:sz w:val="28"/>
          <w:szCs w:val="28"/>
        </w:rPr>
        <w:t>“</w:t>
      </w:r>
      <w:r>
        <w:rPr>
          <w:rFonts w:ascii="宋体" w:hAnsi="宋体" w:eastAsia="宋体" w:cs="华文楷体"/>
          <w:sz w:val="28"/>
          <w:szCs w:val="28"/>
        </w:rPr>
        <w:t>领跑者</w:t>
      </w:r>
      <w:r>
        <w:rPr>
          <w:rFonts w:hint="eastAsia" w:ascii="宋体" w:hAnsi="宋体" w:eastAsia="宋体" w:cs="华文楷体"/>
          <w:sz w:val="28"/>
          <w:szCs w:val="28"/>
        </w:rPr>
        <w:t>”标准的评价指标包括基础指标、核心指标和创新性指标。</w:t>
      </w:r>
    </w:p>
    <w:p>
      <w:pPr>
        <w:rPr>
          <w:rFonts w:hint="eastAsia" w:ascii="宋体" w:hAnsi="宋体" w:eastAsia="宋体" w:cs="华文楷体"/>
          <w:sz w:val="28"/>
          <w:szCs w:val="28"/>
          <w:lang w:val="en-US" w:eastAsia="zh-CN"/>
        </w:rPr>
      </w:pPr>
      <w:r>
        <w:rPr>
          <w:rFonts w:ascii="宋体" w:hAnsi="宋体" w:eastAsia="宋体" w:cs="华文楷体"/>
          <w:sz w:val="28"/>
          <w:szCs w:val="28"/>
        </w:rPr>
        <w:t>4.2.</w:t>
      </w:r>
      <w:r>
        <w:rPr>
          <w:rFonts w:hint="eastAsia" w:ascii="宋体" w:hAnsi="宋体" w:eastAsia="宋体" w:cs="华文楷体"/>
          <w:sz w:val="28"/>
          <w:szCs w:val="28"/>
        </w:rPr>
        <w:t>2</w:t>
      </w:r>
      <w:r>
        <w:rPr>
          <w:rFonts w:hint="eastAsia" w:ascii="宋体" w:hAnsi="宋体" w:eastAsia="宋体" w:cs="华文楷体"/>
          <w:sz w:val="28"/>
          <w:szCs w:val="28"/>
          <w:lang w:val="en-US" w:eastAsia="zh-CN"/>
        </w:rPr>
        <w:t>单元式空气调节机组</w:t>
      </w:r>
      <w:r>
        <w:rPr>
          <w:rFonts w:hint="eastAsia" w:ascii="宋体" w:hAnsi="宋体" w:eastAsia="宋体" w:cs="华文楷体"/>
          <w:sz w:val="28"/>
          <w:szCs w:val="28"/>
        </w:rPr>
        <w:t xml:space="preserve"> “</w:t>
      </w:r>
      <w:r>
        <w:rPr>
          <w:rFonts w:ascii="宋体" w:hAnsi="宋体" w:eastAsia="宋体" w:cs="华文楷体"/>
          <w:sz w:val="28"/>
          <w:szCs w:val="28"/>
        </w:rPr>
        <w:t>领跑者</w:t>
      </w:r>
      <w:r>
        <w:rPr>
          <w:rFonts w:hint="eastAsia" w:ascii="宋体" w:hAnsi="宋体" w:eastAsia="宋体" w:cs="华文楷体"/>
          <w:sz w:val="28"/>
          <w:szCs w:val="28"/>
        </w:rPr>
        <w:t>”标准的评价基础指标包括：</w:t>
      </w:r>
      <w:r>
        <w:rPr>
          <w:rFonts w:hint="eastAsia" w:ascii="宋体" w:hAnsi="宋体" w:eastAsia="宋体" w:cs="华文楷体"/>
          <w:sz w:val="28"/>
          <w:szCs w:val="28"/>
          <w:lang w:val="en-US" w:eastAsia="zh-CN"/>
        </w:rPr>
        <w:t>安全要求、性能要求和有毒有害物质。</w:t>
      </w:r>
    </w:p>
    <w:p>
      <w:pPr>
        <w:rPr>
          <w:rFonts w:hint="eastAsia" w:ascii="宋体" w:hAnsi="宋体" w:eastAsia="宋体" w:cs="华文楷体"/>
          <w:sz w:val="28"/>
          <w:szCs w:val="28"/>
          <w:lang w:val="en-US" w:eastAsia="zh-CN"/>
        </w:rPr>
      </w:pPr>
      <w:r>
        <w:rPr>
          <w:rFonts w:hint="eastAsia" w:ascii="宋体" w:hAnsi="宋体" w:eastAsia="宋体" w:cs="华文楷体"/>
          <w:sz w:val="28"/>
          <w:szCs w:val="28"/>
          <w:lang w:val="en-US" w:eastAsia="zh-CN"/>
        </w:rPr>
        <w:t>4.2.3 单元式空气调节机组 “领跑者”标准的评价核心指标包括：全年能效系数（APF）（适用于热泵型）、制冷季节能效比（SEER）</w:t>
      </w:r>
    </w:p>
    <w:p>
      <w:pPr>
        <w:rPr>
          <w:rFonts w:hint="eastAsia" w:ascii="宋体" w:hAnsi="宋体" w:eastAsia="宋体" w:cs="华文楷体"/>
          <w:sz w:val="28"/>
          <w:szCs w:val="28"/>
          <w:lang w:val="en-US" w:eastAsia="zh-CN"/>
        </w:rPr>
      </w:pPr>
      <w:r>
        <w:rPr>
          <w:rFonts w:hint="eastAsia" w:ascii="宋体" w:hAnsi="宋体" w:eastAsia="宋体" w:cs="华文楷体"/>
          <w:sz w:val="28"/>
          <w:szCs w:val="28"/>
          <w:lang w:val="en-US" w:eastAsia="zh-CN"/>
        </w:rPr>
        <w:t>（适用于单冷式单元机）、综合制冷性能系数（IPLV（C））</w:t>
      </w:r>
    </w:p>
    <w:p>
      <w:pPr>
        <w:rPr>
          <w:rFonts w:hint="eastAsia" w:ascii="宋体" w:hAnsi="宋体" w:eastAsia="宋体" w:cs="华文楷体"/>
          <w:sz w:val="28"/>
          <w:szCs w:val="28"/>
          <w:lang w:val="en-US" w:eastAsia="zh-CN"/>
        </w:rPr>
      </w:pPr>
      <w:r>
        <w:rPr>
          <w:rFonts w:hint="eastAsia" w:ascii="宋体" w:hAnsi="宋体" w:eastAsia="宋体" w:cs="华文楷体"/>
          <w:sz w:val="28"/>
          <w:szCs w:val="28"/>
          <w:lang w:val="en-US" w:eastAsia="zh-CN"/>
        </w:rPr>
        <w:t>（适用于水冷式单元机）、噪声（声压级)。</w:t>
      </w:r>
    </w:p>
    <w:p>
      <w:pPr>
        <w:rPr>
          <w:rFonts w:hint="eastAsia" w:ascii="宋体" w:hAnsi="宋体" w:eastAsia="宋体" w:cs="华文楷体"/>
          <w:sz w:val="28"/>
          <w:szCs w:val="28"/>
          <w:lang w:val="en-US" w:eastAsia="zh-CN"/>
        </w:rPr>
      </w:pPr>
      <w:r>
        <w:rPr>
          <w:rFonts w:hint="eastAsia" w:ascii="宋体" w:hAnsi="宋体" w:eastAsia="宋体" w:cs="华文楷体"/>
          <w:sz w:val="28"/>
          <w:szCs w:val="28"/>
        </w:rPr>
        <w:t>4.2.4</w:t>
      </w:r>
      <w:r>
        <w:rPr>
          <w:rFonts w:hint="eastAsia" w:ascii="宋体" w:hAnsi="宋体" w:eastAsia="宋体" w:cs="华文楷体"/>
          <w:sz w:val="28"/>
          <w:szCs w:val="28"/>
          <w:lang w:val="en-US" w:eastAsia="zh-CN"/>
        </w:rPr>
        <w:t>单元式空气调节机组</w:t>
      </w:r>
      <w:r>
        <w:rPr>
          <w:rFonts w:hint="eastAsia" w:ascii="宋体" w:hAnsi="宋体" w:eastAsia="宋体" w:cs="华文楷体"/>
          <w:sz w:val="28"/>
          <w:szCs w:val="28"/>
        </w:rPr>
        <w:t xml:space="preserve"> “</w:t>
      </w:r>
      <w:r>
        <w:rPr>
          <w:rFonts w:ascii="宋体" w:hAnsi="宋体" w:eastAsia="宋体" w:cs="华文楷体"/>
          <w:sz w:val="28"/>
          <w:szCs w:val="28"/>
        </w:rPr>
        <w:t>领跑者</w:t>
      </w:r>
      <w:r>
        <w:rPr>
          <w:rFonts w:hint="eastAsia" w:ascii="宋体" w:hAnsi="宋体" w:eastAsia="宋体" w:cs="华文楷体"/>
          <w:sz w:val="28"/>
          <w:szCs w:val="28"/>
        </w:rPr>
        <w:t>”标准的评价创新性指标包括：</w:t>
      </w:r>
      <w:r>
        <w:rPr>
          <w:rFonts w:hint="eastAsia" w:ascii="宋体" w:hAnsi="宋体" w:eastAsia="宋体" w:cs="华文楷体"/>
          <w:sz w:val="28"/>
          <w:szCs w:val="28"/>
          <w:lang w:val="en-US" w:eastAsia="zh-CN"/>
        </w:rPr>
        <w:t>超低温制热量、超低温制热消耗功率、超高温制冷量、超高温制冷消耗功率、风冷比、稳态制热、使用制冷剂、单位制冷量制冷剂充注量。</w:t>
      </w:r>
    </w:p>
    <w:p>
      <w:pPr>
        <w:rPr>
          <w:rFonts w:ascii="宋体" w:hAnsi="宋体" w:eastAsia="宋体" w:cs="华文楷体"/>
          <w:sz w:val="28"/>
          <w:szCs w:val="28"/>
        </w:rPr>
      </w:pPr>
      <w:r>
        <w:rPr>
          <w:rFonts w:hint="eastAsia" w:ascii="宋体" w:hAnsi="宋体" w:eastAsia="宋体" w:cs="华文楷体"/>
          <w:sz w:val="28"/>
          <w:szCs w:val="28"/>
        </w:rPr>
        <w:t>4.2.5 核心指标和创新性指标分为先进水平、平均水平和基准水平共三个等级，先进水平相当于企业标准排行榜中</w:t>
      </w:r>
      <w:r>
        <w:rPr>
          <w:rFonts w:ascii="宋体" w:hAnsi="宋体" w:eastAsia="宋体" w:cs="华文楷体"/>
          <w:sz w:val="28"/>
          <w:szCs w:val="28"/>
        </w:rPr>
        <w:t>5</w:t>
      </w:r>
      <w:r>
        <w:rPr>
          <w:rFonts w:hint="eastAsia" w:ascii="宋体" w:hAnsi="宋体" w:eastAsia="宋体" w:cs="华文楷体"/>
          <w:sz w:val="28"/>
          <w:szCs w:val="28"/>
        </w:rPr>
        <w:t>星级水平；平均水平相当于企业标准排行榜中</w:t>
      </w:r>
      <w:r>
        <w:rPr>
          <w:rFonts w:ascii="宋体" w:hAnsi="宋体" w:eastAsia="宋体" w:cs="华文楷体"/>
          <w:sz w:val="28"/>
          <w:szCs w:val="28"/>
        </w:rPr>
        <w:t>4</w:t>
      </w:r>
      <w:r>
        <w:rPr>
          <w:rFonts w:hint="eastAsia" w:ascii="宋体" w:hAnsi="宋体" w:eastAsia="宋体" w:cs="华文楷体"/>
          <w:sz w:val="28"/>
          <w:szCs w:val="28"/>
        </w:rPr>
        <w:t>星级水平；基准水平相当于企业标准排行榜中</w:t>
      </w:r>
      <w:r>
        <w:rPr>
          <w:rFonts w:ascii="宋体" w:hAnsi="宋体" w:eastAsia="宋体" w:cs="华文楷体"/>
          <w:sz w:val="28"/>
          <w:szCs w:val="28"/>
        </w:rPr>
        <w:t>3</w:t>
      </w:r>
      <w:r>
        <w:rPr>
          <w:rFonts w:hint="eastAsia" w:ascii="宋体" w:hAnsi="宋体" w:eastAsia="宋体" w:cs="华文楷体"/>
          <w:sz w:val="28"/>
          <w:szCs w:val="28"/>
        </w:rPr>
        <w:t>星级水平。</w:t>
      </w:r>
    </w:p>
    <w:p>
      <w:pPr>
        <w:rPr>
          <w:rFonts w:ascii="宋体" w:hAnsi="宋体" w:eastAsia="宋体" w:cs="华文楷体"/>
          <w:sz w:val="28"/>
          <w:szCs w:val="28"/>
        </w:rPr>
      </w:pPr>
      <w:r>
        <w:rPr>
          <w:rFonts w:hint="eastAsia" w:ascii="宋体" w:hAnsi="宋体" w:eastAsia="宋体" w:cs="华文楷体"/>
          <w:sz w:val="28"/>
          <w:szCs w:val="28"/>
        </w:rPr>
        <w:t>4.3  评价指标体系框架</w:t>
      </w:r>
    </w:p>
    <w:p>
      <w:pPr>
        <w:ind w:firstLine="560" w:firstLineChars="200"/>
        <w:rPr>
          <w:rFonts w:ascii="宋体" w:hAnsi="宋体" w:eastAsia="宋体" w:cs="华文楷体"/>
          <w:sz w:val="28"/>
          <w:szCs w:val="28"/>
        </w:rPr>
      </w:pPr>
      <w:r>
        <w:rPr>
          <w:rFonts w:hint="eastAsia" w:ascii="宋体" w:hAnsi="宋体" w:eastAsia="宋体" w:cs="华文楷体"/>
          <w:sz w:val="28"/>
          <w:szCs w:val="28"/>
          <w:lang w:val="en-US" w:eastAsia="zh-CN"/>
        </w:rPr>
        <w:t>单元式空气调节机组</w:t>
      </w:r>
      <w:r>
        <w:rPr>
          <w:rFonts w:hint="eastAsia" w:ascii="宋体" w:hAnsi="宋体" w:eastAsia="宋体" w:cs="华文楷体"/>
          <w:sz w:val="28"/>
          <w:szCs w:val="28"/>
        </w:rPr>
        <w:t>“领跑者”标准的评价指标体系见表1。</w:t>
      </w:r>
    </w:p>
    <w:p>
      <w:pPr>
        <w:pStyle w:val="14"/>
        <w:jc w:val="center"/>
        <w:rPr>
          <w:szCs w:val="21"/>
        </w:rPr>
      </w:pPr>
      <w:r>
        <w:rPr>
          <w:rFonts w:hint="eastAsia" w:ascii="黑体" w:hAnsi="黑体" w:eastAsia="黑体" w:cs="黑体"/>
          <w:color w:val="000000" w:themeColor="text1"/>
          <w:szCs w:val="21"/>
        </w:rPr>
        <w:t>表</w:t>
      </w:r>
      <w:r>
        <w:rPr>
          <w:rFonts w:ascii="Times New Roman" w:eastAsia="黑体"/>
          <w:color w:val="000000" w:themeColor="text1"/>
          <w:szCs w:val="21"/>
        </w:rPr>
        <w:t>1</w:t>
      </w:r>
      <w:r>
        <w:rPr>
          <w:rFonts w:hint="eastAsia" w:ascii="黑体" w:hAnsi="黑体" w:eastAsia="黑体" w:cs="黑体"/>
          <w:color w:val="000000" w:themeColor="text1"/>
          <w:szCs w:val="21"/>
        </w:rPr>
        <w:t>评价指标体系框架</w:t>
      </w:r>
    </w:p>
    <w:tbl>
      <w:tblPr>
        <w:tblStyle w:val="6"/>
        <w:tblW w:w="939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
        <w:gridCol w:w="567"/>
        <w:gridCol w:w="2363"/>
        <w:gridCol w:w="1681"/>
        <w:gridCol w:w="1387"/>
        <w:gridCol w:w="1524"/>
        <w:gridCol w:w="14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 w:type="dxa"/>
            <w:vMerge w:val="restart"/>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序号</w:t>
            </w:r>
          </w:p>
        </w:tc>
        <w:tc>
          <w:tcPr>
            <w:tcW w:w="567" w:type="dxa"/>
            <w:vMerge w:val="restart"/>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指标类型</w:t>
            </w:r>
          </w:p>
        </w:tc>
        <w:tc>
          <w:tcPr>
            <w:tcW w:w="2363" w:type="dxa"/>
            <w:vMerge w:val="restart"/>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评价指标</w:t>
            </w:r>
          </w:p>
        </w:tc>
        <w:tc>
          <w:tcPr>
            <w:tcW w:w="1681" w:type="dxa"/>
            <w:vMerge w:val="restart"/>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指标来源</w:t>
            </w:r>
          </w:p>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（判定依据和方法）</w:t>
            </w:r>
          </w:p>
        </w:tc>
        <w:tc>
          <w:tcPr>
            <w:tcW w:w="4358" w:type="dxa"/>
            <w:gridSpan w:val="3"/>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指标要求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jc w:val="center"/>
        </w:trPr>
        <w:tc>
          <w:tcPr>
            <w:tcW w:w="426" w:type="dxa"/>
            <w:vMerge w:val="continue"/>
            <w:noWrap w:val="0"/>
            <w:vAlign w:val="center"/>
          </w:tcPr>
          <w:p>
            <w:pPr>
              <w:spacing w:line="240" w:lineRule="exact"/>
              <w:jc w:val="center"/>
              <w:rPr>
                <w:rFonts w:hint="eastAsia" w:ascii="宋体" w:hAnsi="宋体" w:eastAsia="宋体" w:cs="宋体"/>
                <w:kern w:val="0"/>
                <w:szCs w:val="18"/>
              </w:rPr>
            </w:pPr>
          </w:p>
        </w:tc>
        <w:tc>
          <w:tcPr>
            <w:tcW w:w="567" w:type="dxa"/>
            <w:vMerge w:val="continue"/>
            <w:noWrap w:val="0"/>
            <w:vAlign w:val="top"/>
          </w:tcPr>
          <w:p>
            <w:pPr>
              <w:spacing w:line="240" w:lineRule="exact"/>
              <w:jc w:val="center"/>
              <w:rPr>
                <w:rFonts w:hint="eastAsia" w:ascii="宋体" w:hAnsi="宋体" w:eastAsia="宋体" w:cs="宋体"/>
                <w:kern w:val="0"/>
                <w:szCs w:val="18"/>
              </w:rPr>
            </w:pPr>
          </w:p>
        </w:tc>
        <w:tc>
          <w:tcPr>
            <w:tcW w:w="2363" w:type="dxa"/>
            <w:vMerge w:val="continue"/>
            <w:noWrap w:val="0"/>
            <w:vAlign w:val="center"/>
          </w:tcPr>
          <w:p>
            <w:pPr>
              <w:spacing w:line="240" w:lineRule="exact"/>
              <w:jc w:val="center"/>
              <w:rPr>
                <w:rFonts w:hint="eastAsia" w:ascii="宋体" w:hAnsi="宋体" w:eastAsia="宋体" w:cs="宋体"/>
                <w:kern w:val="0"/>
                <w:szCs w:val="18"/>
              </w:rPr>
            </w:pPr>
          </w:p>
        </w:tc>
        <w:tc>
          <w:tcPr>
            <w:tcW w:w="1681" w:type="dxa"/>
            <w:vMerge w:val="continue"/>
            <w:noWrap w:val="0"/>
            <w:vAlign w:val="center"/>
          </w:tcPr>
          <w:p>
            <w:pPr>
              <w:spacing w:line="240" w:lineRule="exact"/>
              <w:jc w:val="center"/>
              <w:rPr>
                <w:rFonts w:hint="eastAsia" w:ascii="宋体" w:hAnsi="宋体" w:eastAsia="宋体" w:cs="宋体"/>
                <w:kern w:val="0"/>
                <w:szCs w:val="18"/>
              </w:rPr>
            </w:pPr>
          </w:p>
        </w:tc>
        <w:tc>
          <w:tcPr>
            <w:tcW w:w="1387" w:type="dxa"/>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先进水平</w:t>
            </w:r>
          </w:p>
        </w:tc>
        <w:tc>
          <w:tcPr>
            <w:tcW w:w="1524" w:type="dxa"/>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平均水平</w:t>
            </w:r>
          </w:p>
        </w:tc>
        <w:tc>
          <w:tcPr>
            <w:tcW w:w="1447" w:type="dxa"/>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基准水平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426" w:type="dxa"/>
            <w:vMerge w:val="restart"/>
            <w:tcBorders>
              <w:bottom w:val="single" w:color="auto" w:sz="4" w:space="0"/>
            </w:tcBorders>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1</w:t>
            </w:r>
          </w:p>
        </w:tc>
        <w:tc>
          <w:tcPr>
            <w:tcW w:w="567" w:type="dxa"/>
            <w:vMerge w:val="restart"/>
            <w:tcBorders>
              <w:bottom w:val="single" w:color="auto" w:sz="4" w:space="0"/>
            </w:tcBorders>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基础指标</w:t>
            </w:r>
          </w:p>
        </w:tc>
        <w:tc>
          <w:tcPr>
            <w:tcW w:w="2363" w:type="dxa"/>
            <w:tcBorders>
              <w:bottom w:val="single" w:color="auto" w:sz="4" w:space="0"/>
            </w:tcBorders>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安全要求</w:t>
            </w:r>
          </w:p>
        </w:tc>
        <w:tc>
          <w:tcPr>
            <w:tcW w:w="1681" w:type="dxa"/>
            <w:noWrap w:val="0"/>
            <w:vAlign w:val="center"/>
          </w:tcPr>
          <w:p>
            <w:pPr>
              <w:rPr>
                <w:rFonts w:hint="eastAsia" w:ascii="宋体" w:hAnsi="宋体" w:eastAsia="宋体" w:cs="宋体"/>
              </w:rPr>
            </w:pPr>
          </w:p>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GB 25130</w:t>
            </w:r>
          </w:p>
        </w:tc>
        <w:tc>
          <w:tcPr>
            <w:tcW w:w="4358" w:type="dxa"/>
            <w:gridSpan w:val="3"/>
            <w:tcBorders>
              <w:bottom w:val="single" w:color="auto" w:sz="4" w:space="0"/>
            </w:tcBorders>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符合标准要求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426" w:type="dxa"/>
            <w:vMerge w:val="continue"/>
            <w:tcBorders>
              <w:bottom w:val="single" w:color="auto" w:sz="4" w:space="0"/>
            </w:tcBorders>
            <w:noWrap w:val="0"/>
            <w:vAlign w:val="center"/>
          </w:tcPr>
          <w:p>
            <w:pPr>
              <w:spacing w:line="240" w:lineRule="exact"/>
              <w:jc w:val="center"/>
              <w:rPr>
                <w:rFonts w:hint="eastAsia" w:ascii="宋体" w:hAnsi="宋体" w:eastAsia="宋体" w:cs="宋体"/>
                <w:kern w:val="0"/>
                <w:szCs w:val="18"/>
              </w:rPr>
            </w:pPr>
          </w:p>
        </w:tc>
        <w:tc>
          <w:tcPr>
            <w:tcW w:w="567" w:type="dxa"/>
            <w:vMerge w:val="continue"/>
            <w:tcBorders>
              <w:bottom w:val="single" w:color="auto" w:sz="4" w:space="0"/>
            </w:tcBorders>
            <w:noWrap w:val="0"/>
            <w:vAlign w:val="center"/>
          </w:tcPr>
          <w:p>
            <w:pPr>
              <w:spacing w:line="240" w:lineRule="exact"/>
              <w:jc w:val="center"/>
              <w:rPr>
                <w:rFonts w:hint="eastAsia" w:ascii="宋体" w:hAnsi="宋体" w:eastAsia="宋体" w:cs="宋体"/>
                <w:kern w:val="0"/>
                <w:szCs w:val="18"/>
              </w:rPr>
            </w:pPr>
          </w:p>
        </w:tc>
        <w:tc>
          <w:tcPr>
            <w:tcW w:w="2363" w:type="dxa"/>
            <w:tcBorders>
              <w:bottom w:val="single" w:color="auto" w:sz="4" w:space="0"/>
            </w:tcBorders>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性能要求（具体见附录A）</w:t>
            </w:r>
          </w:p>
        </w:tc>
        <w:tc>
          <w:tcPr>
            <w:tcW w:w="1681" w:type="dxa"/>
            <w:noWrap w:val="0"/>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rPr>
              <w:t xml:space="preserve">GB/T </w:t>
            </w:r>
            <w:r>
              <w:rPr>
                <w:rFonts w:hint="eastAsia" w:ascii="宋体" w:hAnsi="宋体" w:eastAsia="宋体" w:cs="宋体"/>
                <w:kern w:val="0"/>
                <w:szCs w:val="18"/>
                <w:lang w:val="en-US" w:eastAsia="zh-CN"/>
              </w:rPr>
              <w:t>17758</w:t>
            </w:r>
          </w:p>
        </w:tc>
        <w:tc>
          <w:tcPr>
            <w:tcW w:w="4358" w:type="dxa"/>
            <w:gridSpan w:val="3"/>
            <w:tcBorders>
              <w:bottom w:val="single" w:color="auto" w:sz="4" w:space="0"/>
            </w:tcBorders>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符合标准要求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 w:type="dxa"/>
            <w:vMerge w:val="continue"/>
            <w:noWrap w:val="0"/>
            <w:vAlign w:val="center"/>
          </w:tcPr>
          <w:p>
            <w:pPr>
              <w:spacing w:line="240" w:lineRule="exact"/>
              <w:jc w:val="center"/>
              <w:rPr>
                <w:rFonts w:hint="eastAsia" w:ascii="宋体" w:hAnsi="宋体" w:eastAsia="宋体" w:cs="宋体"/>
                <w:kern w:val="0"/>
                <w:szCs w:val="18"/>
              </w:rPr>
            </w:pPr>
          </w:p>
        </w:tc>
        <w:tc>
          <w:tcPr>
            <w:tcW w:w="567" w:type="dxa"/>
            <w:vMerge w:val="continue"/>
            <w:noWrap w:val="0"/>
            <w:vAlign w:val="top"/>
          </w:tcPr>
          <w:p>
            <w:pPr>
              <w:spacing w:line="240" w:lineRule="exact"/>
              <w:jc w:val="center"/>
              <w:rPr>
                <w:rFonts w:hint="eastAsia" w:ascii="宋体" w:hAnsi="宋体" w:eastAsia="宋体" w:cs="宋体"/>
                <w:kern w:val="0"/>
                <w:szCs w:val="18"/>
              </w:rPr>
            </w:pPr>
          </w:p>
        </w:tc>
        <w:tc>
          <w:tcPr>
            <w:tcW w:w="2363" w:type="dxa"/>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有毒有害物质</w:t>
            </w:r>
          </w:p>
        </w:tc>
        <w:tc>
          <w:tcPr>
            <w:tcW w:w="1681" w:type="dxa"/>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GB/T 26572</w:t>
            </w:r>
          </w:p>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GB/T 26125</w:t>
            </w:r>
          </w:p>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工信部2018年第15号公告《达标管理目录限用物质应用例外清单》</w:t>
            </w:r>
          </w:p>
        </w:tc>
        <w:tc>
          <w:tcPr>
            <w:tcW w:w="4358" w:type="dxa"/>
            <w:gridSpan w:val="3"/>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符合标准要求</w:t>
            </w:r>
          </w:p>
        </w:tc>
      </w:tr>
    </w:tbl>
    <w:p>
      <w:pPr>
        <w:rPr>
          <w:rFonts w:ascii="宋体" w:hAnsi="宋体" w:eastAsia="宋体" w:cs="华文楷体"/>
          <w:b/>
          <w:bCs/>
          <w:sz w:val="28"/>
          <w:szCs w:val="28"/>
        </w:rPr>
        <w:sectPr>
          <w:footerReference r:id="rId3" w:type="default"/>
          <w:pgSz w:w="11906" w:h="16838"/>
          <w:pgMar w:top="1440" w:right="1800" w:bottom="1440" w:left="1800" w:header="851" w:footer="992" w:gutter="0"/>
          <w:pgNumType w:start="0"/>
          <w:cols w:space="425" w:num="1"/>
          <w:titlePg/>
          <w:docGrid w:type="lines" w:linePitch="312" w:charSpace="0"/>
        </w:sectPr>
      </w:pPr>
    </w:p>
    <w:tbl>
      <w:tblPr>
        <w:tblStyle w:val="6"/>
        <w:tblW w:w="939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
        <w:gridCol w:w="567"/>
        <w:gridCol w:w="2363"/>
        <w:gridCol w:w="1681"/>
        <w:gridCol w:w="1387"/>
        <w:gridCol w:w="1524"/>
        <w:gridCol w:w="14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 w:type="dxa"/>
            <w:vMerge w:val="restart"/>
            <w:noWrap w:val="0"/>
            <w:vAlign w:val="center"/>
          </w:tcPr>
          <w:p>
            <w:pPr>
              <w:spacing w:line="240" w:lineRule="exact"/>
              <w:jc w:val="center"/>
              <w:rPr>
                <w:rFonts w:ascii="宋体" w:hAnsi="宋体"/>
                <w:kern w:val="0"/>
                <w:szCs w:val="18"/>
              </w:rPr>
            </w:pPr>
            <w:r>
              <w:rPr>
                <w:rFonts w:hint="eastAsia" w:ascii="宋体" w:hAnsi="宋体"/>
                <w:kern w:val="0"/>
                <w:szCs w:val="18"/>
              </w:rPr>
              <w:t>2</w:t>
            </w:r>
          </w:p>
        </w:tc>
        <w:tc>
          <w:tcPr>
            <w:tcW w:w="567" w:type="dxa"/>
            <w:vMerge w:val="restart"/>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lang w:val="en-US" w:eastAsia="zh-CN"/>
              </w:rPr>
              <w:t>核心指标</w:t>
            </w:r>
          </w:p>
        </w:tc>
        <w:tc>
          <w:tcPr>
            <w:tcW w:w="2363" w:type="dxa"/>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24"/>
                <w:lang w:val="en-US" w:eastAsia="zh-CN"/>
              </w:rPr>
              <w:t>全年能效系数</w:t>
            </w:r>
            <w:r>
              <w:rPr>
                <w:rFonts w:hint="eastAsia" w:ascii="宋体" w:hAnsi="宋体" w:eastAsia="宋体" w:cs="宋体"/>
                <w:kern w:val="0"/>
                <w:szCs w:val="18"/>
              </w:rPr>
              <w:t>（APF）</w:t>
            </w:r>
          </w:p>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（适用于</w:t>
            </w:r>
            <w:r>
              <w:rPr>
                <w:rFonts w:hint="eastAsia" w:ascii="宋体" w:hAnsi="宋体" w:eastAsia="宋体" w:cs="宋体"/>
                <w:kern w:val="0"/>
                <w:szCs w:val="18"/>
                <w:lang w:val="en-US" w:eastAsia="zh-CN"/>
              </w:rPr>
              <w:t>热泵型</w:t>
            </w:r>
            <w:r>
              <w:rPr>
                <w:rFonts w:hint="eastAsia" w:ascii="宋体" w:hAnsi="宋体" w:eastAsia="宋体" w:cs="宋体"/>
                <w:kern w:val="0"/>
                <w:szCs w:val="18"/>
              </w:rPr>
              <w:t>）</w:t>
            </w:r>
          </w:p>
        </w:tc>
        <w:tc>
          <w:tcPr>
            <w:tcW w:w="1681" w:type="dxa"/>
            <w:vMerge w:val="restart"/>
            <w:noWrap w:val="0"/>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rPr>
              <w:t>GB</w:t>
            </w:r>
            <w:r>
              <w:rPr>
                <w:rFonts w:hint="eastAsia" w:ascii="宋体" w:hAnsi="宋体" w:eastAsia="宋体" w:cs="宋体"/>
                <w:kern w:val="0"/>
                <w:szCs w:val="18"/>
                <w:lang w:val="en-US" w:eastAsia="zh-CN"/>
              </w:rPr>
              <w:t xml:space="preserve"> 19576</w:t>
            </w:r>
            <w:r>
              <w:rPr>
                <w:rFonts w:hint="eastAsia" w:ascii="宋体" w:hAnsi="宋体" w:eastAsia="宋体" w:cs="宋体"/>
                <w:kern w:val="0"/>
                <w:szCs w:val="18"/>
              </w:rPr>
              <w:t xml:space="preserve"> </w:t>
            </w:r>
          </w:p>
        </w:tc>
        <w:tc>
          <w:tcPr>
            <w:tcW w:w="1387" w:type="dxa"/>
            <w:vMerge w:val="restart"/>
            <w:noWrap w:val="0"/>
            <w:vAlign w:val="center"/>
          </w:tcPr>
          <w:p>
            <w:pPr>
              <w:spacing w:line="240" w:lineRule="auto"/>
              <w:jc w:val="center"/>
              <w:rPr>
                <w:rFonts w:hint="eastAsia" w:ascii="宋体" w:hAnsi="宋体" w:eastAsia="宋体" w:cs="宋体"/>
                <w:kern w:val="0"/>
                <w:szCs w:val="18"/>
              </w:rPr>
            </w:pPr>
            <w:r>
              <w:rPr>
                <w:rFonts w:hint="eastAsia" w:ascii="宋体" w:hAnsi="宋体" w:eastAsia="宋体" w:cs="宋体"/>
                <w:kern w:val="0"/>
                <w:szCs w:val="18"/>
              </w:rPr>
              <w:t>标称值和实测值均满足等级1级要求且实测值≥标称值的95%</w:t>
            </w:r>
          </w:p>
        </w:tc>
        <w:tc>
          <w:tcPr>
            <w:tcW w:w="1524" w:type="dxa"/>
            <w:vMerge w:val="restart"/>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标称值和实测值均满足等级2级要求且实测值≥标称值的95%</w:t>
            </w:r>
          </w:p>
        </w:tc>
        <w:tc>
          <w:tcPr>
            <w:tcW w:w="1447" w:type="dxa"/>
            <w:vMerge w:val="restart"/>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标称值和实测值均满足等级3级要求且实测值≥标称值的95%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 w:type="dxa"/>
            <w:vMerge w:val="continue"/>
            <w:noWrap w:val="0"/>
            <w:vAlign w:val="center"/>
          </w:tcPr>
          <w:p>
            <w:pPr>
              <w:spacing w:line="240" w:lineRule="exact"/>
              <w:jc w:val="center"/>
              <w:rPr>
                <w:rFonts w:ascii="宋体" w:hAnsi="宋体"/>
                <w:kern w:val="0"/>
                <w:szCs w:val="18"/>
              </w:rPr>
            </w:pPr>
          </w:p>
        </w:tc>
        <w:tc>
          <w:tcPr>
            <w:tcW w:w="567" w:type="dxa"/>
            <w:vMerge w:val="continue"/>
            <w:noWrap w:val="0"/>
            <w:vAlign w:val="center"/>
          </w:tcPr>
          <w:p>
            <w:pPr>
              <w:spacing w:line="240" w:lineRule="exact"/>
              <w:jc w:val="center"/>
              <w:rPr>
                <w:rFonts w:hint="eastAsia" w:ascii="宋体" w:hAnsi="宋体" w:eastAsia="宋体" w:cs="宋体"/>
                <w:kern w:val="0"/>
                <w:szCs w:val="18"/>
              </w:rPr>
            </w:pPr>
          </w:p>
        </w:tc>
        <w:tc>
          <w:tcPr>
            <w:tcW w:w="2363" w:type="dxa"/>
            <w:noWrap w:val="0"/>
            <w:vAlign w:val="center"/>
          </w:tcPr>
          <w:p>
            <w:pPr>
              <w:spacing w:line="240" w:lineRule="exact"/>
              <w:jc w:val="center"/>
              <w:rPr>
                <w:rFonts w:hint="eastAsia" w:ascii="宋体" w:hAnsi="宋体" w:eastAsia="宋体" w:cs="宋体"/>
                <w:color w:val="000000"/>
                <w:kern w:val="0"/>
                <w:sz w:val="21"/>
                <w:szCs w:val="24"/>
              </w:rPr>
            </w:pPr>
            <w:r>
              <w:rPr>
                <w:rFonts w:hint="eastAsia" w:ascii="宋体" w:hAnsi="宋体" w:eastAsia="宋体" w:cs="宋体"/>
                <w:color w:val="000000"/>
                <w:kern w:val="0"/>
                <w:sz w:val="21"/>
                <w:szCs w:val="24"/>
              </w:rPr>
              <w:t>制冷季节能效比（SEER）</w:t>
            </w:r>
          </w:p>
          <w:p>
            <w:pPr>
              <w:rPr>
                <w:rFonts w:hint="eastAsia" w:ascii="宋体" w:hAnsi="宋体" w:eastAsia="宋体" w:cs="宋体"/>
              </w:rPr>
            </w:pPr>
            <w:r>
              <w:rPr>
                <w:rFonts w:hint="eastAsia" w:ascii="宋体" w:hAnsi="宋体" w:eastAsia="宋体" w:cs="宋体"/>
                <w:kern w:val="0"/>
                <w:szCs w:val="24"/>
                <w:lang w:eastAsia="zh-CN"/>
              </w:rPr>
              <w:t>（</w:t>
            </w:r>
            <w:r>
              <w:rPr>
                <w:rFonts w:hint="eastAsia" w:ascii="宋体" w:hAnsi="宋体" w:eastAsia="宋体" w:cs="宋体"/>
                <w:kern w:val="0"/>
                <w:szCs w:val="24"/>
              </w:rPr>
              <w:t>适用于单冷式</w:t>
            </w:r>
            <w:r>
              <w:rPr>
                <w:rFonts w:hint="eastAsia" w:ascii="宋体" w:hAnsi="宋体" w:eastAsia="宋体" w:cs="宋体"/>
                <w:kern w:val="0"/>
                <w:szCs w:val="24"/>
                <w:lang w:val="en-US" w:eastAsia="zh-CN"/>
              </w:rPr>
              <w:t>单元机</w:t>
            </w:r>
            <w:r>
              <w:rPr>
                <w:rFonts w:hint="eastAsia" w:ascii="宋体" w:hAnsi="宋体" w:eastAsia="宋体" w:cs="宋体"/>
                <w:kern w:val="0"/>
                <w:szCs w:val="24"/>
                <w:lang w:eastAsia="zh-CN"/>
              </w:rPr>
              <w:t>）</w:t>
            </w:r>
          </w:p>
          <w:p>
            <w:pPr>
              <w:spacing w:line="240" w:lineRule="exact"/>
              <w:jc w:val="center"/>
              <w:rPr>
                <w:rFonts w:hint="eastAsia" w:ascii="宋体" w:hAnsi="宋体" w:eastAsia="宋体" w:cs="宋体"/>
                <w:kern w:val="0"/>
                <w:szCs w:val="18"/>
              </w:rPr>
            </w:pPr>
          </w:p>
        </w:tc>
        <w:tc>
          <w:tcPr>
            <w:tcW w:w="1681" w:type="dxa"/>
            <w:vMerge w:val="continue"/>
            <w:noWrap w:val="0"/>
            <w:vAlign w:val="center"/>
          </w:tcPr>
          <w:p>
            <w:pPr>
              <w:spacing w:line="240" w:lineRule="exact"/>
              <w:jc w:val="center"/>
              <w:rPr>
                <w:rFonts w:hint="eastAsia" w:ascii="宋体" w:hAnsi="宋体" w:eastAsia="宋体" w:cs="宋体"/>
                <w:kern w:val="0"/>
                <w:szCs w:val="18"/>
              </w:rPr>
            </w:pPr>
          </w:p>
        </w:tc>
        <w:tc>
          <w:tcPr>
            <w:tcW w:w="1387" w:type="dxa"/>
            <w:vMerge w:val="continue"/>
            <w:noWrap w:val="0"/>
            <w:vAlign w:val="center"/>
          </w:tcPr>
          <w:p>
            <w:pPr>
              <w:spacing w:line="240" w:lineRule="exact"/>
              <w:jc w:val="center"/>
              <w:rPr>
                <w:rFonts w:hint="eastAsia" w:ascii="宋体" w:hAnsi="宋体" w:eastAsia="宋体" w:cs="宋体"/>
                <w:kern w:val="0"/>
                <w:szCs w:val="18"/>
              </w:rPr>
            </w:pPr>
          </w:p>
        </w:tc>
        <w:tc>
          <w:tcPr>
            <w:tcW w:w="1524" w:type="dxa"/>
            <w:vMerge w:val="continue"/>
            <w:noWrap w:val="0"/>
            <w:vAlign w:val="center"/>
          </w:tcPr>
          <w:p>
            <w:pPr>
              <w:spacing w:line="240" w:lineRule="exact"/>
              <w:jc w:val="center"/>
              <w:rPr>
                <w:rFonts w:hint="eastAsia" w:ascii="宋体" w:hAnsi="宋体" w:eastAsia="宋体" w:cs="宋体"/>
                <w:kern w:val="0"/>
                <w:szCs w:val="18"/>
              </w:rPr>
            </w:pPr>
          </w:p>
        </w:tc>
        <w:tc>
          <w:tcPr>
            <w:tcW w:w="1447" w:type="dxa"/>
            <w:vMerge w:val="continue"/>
            <w:noWrap w:val="0"/>
            <w:vAlign w:val="center"/>
          </w:tcPr>
          <w:p>
            <w:pPr>
              <w:spacing w:line="240" w:lineRule="exact"/>
              <w:jc w:val="center"/>
              <w:rPr>
                <w:rFonts w:hint="eastAsia" w:ascii="宋体" w:hAnsi="宋体" w:eastAsia="宋体" w:cs="宋体"/>
                <w:kern w:val="0"/>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7" w:hRule="atLeast"/>
          <w:jc w:val="center"/>
        </w:trPr>
        <w:tc>
          <w:tcPr>
            <w:tcW w:w="426" w:type="dxa"/>
            <w:vMerge w:val="continue"/>
            <w:noWrap w:val="0"/>
            <w:vAlign w:val="center"/>
          </w:tcPr>
          <w:p>
            <w:pPr>
              <w:spacing w:line="240" w:lineRule="exact"/>
              <w:jc w:val="center"/>
              <w:rPr>
                <w:rFonts w:ascii="宋体" w:hAnsi="宋体"/>
                <w:kern w:val="0"/>
                <w:szCs w:val="18"/>
              </w:rPr>
            </w:pPr>
          </w:p>
        </w:tc>
        <w:tc>
          <w:tcPr>
            <w:tcW w:w="567" w:type="dxa"/>
            <w:vMerge w:val="continue"/>
            <w:noWrap w:val="0"/>
            <w:vAlign w:val="center"/>
          </w:tcPr>
          <w:p>
            <w:pPr>
              <w:spacing w:line="240" w:lineRule="exact"/>
              <w:jc w:val="center"/>
              <w:rPr>
                <w:rFonts w:hint="eastAsia" w:ascii="宋体" w:hAnsi="宋体" w:eastAsia="宋体" w:cs="宋体"/>
                <w:kern w:val="0"/>
                <w:szCs w:val="18"/>
              </w:rPr>
            </w:pPr>
          </w:p>
        </w:tc>
        <w:tc>
          <w:tcPr>
            <w:tcW w:w="2363" w:type="dxa"/>
            <w:noWrap w:val="0"/>
            <w:vAlign w:val="center"/>
          </w:tcPr>
          <w:p>
            <w:pPr>
              <w:spacing w:line="240" w:lineRule="exact"/>
              <w:jc w:val="center"/>
              <w:rPr>
                <w:rFonts w:hint="eastAsia" w:ascii="宋体" w:hAnsi="宋体" w:eastAsia="宋体" w:cs="宋体"/>
                <w:color w:val="000000"/>
                <w:kern w:val="0"/>
                <w:sz w:val="21"/>
                <w:szCs w:val="24"/>
                <w:lang w:eastAsia="zh-CN"/>
              </w:rPr>
            </w:pPr>
            <w:r>
              <w:rPr>
                <w:rFonts w:hint="eastAsia" w:ascii="宋体" w:hAnsi="宋体" w:eastAsia="宋体" w:cs="宋体"/>
                <w:color w:val="000000"/>
                <w:kern w:val="0"/>
                <w:sz w:val="21"/>
                <w:szCs w:val="24"/>
              </w:rPr>
              <w:t>综合制冷性能系数</w:t>
            </w:r>
            <w:r>
              <w:rPr>
                <w:rFonts w:hint="eastAsia" w:ascii="宋体" w:hAnsi="宋体" w:eastAsia="宋体" w:cs="宋体"/>
                <w:color w:val="000000"/>
                <w:kern w:val="0"/>
                <w:sz w:val="21"/>
                <w:szCs w:val="24"/>
                <w:lang w:eastAsia="zh-CN"/>
              </w:rPr>
              <w:t>（</w:t>
            </w:r>
            <w:r>
              <w:rPr>
                <w:rFonts w:hint="eastAsia" w:ascii="宋体" w:hAnsi="宋体" w:eastAsia="宋体" w:cs="宋体"/>
                <w:color w:val="000000"/>
                <w:kern w:val="0"/>
                <w:sz w:val="21"/>
                <w:szCs w:val="24"/>
                <w:lang w:val="en-US" w:eastAsia="zh-CN"/>
              </w:rPr>
              <w:t>IPLV（C）</w:t>
            </w:r>
            <w:r>
              <w:rPr>
                <w:rFonts w:hint="eastAsia" w:ascii="宋体" w:hAnsi="宋体" w:eastAsia="宋体" w:cs="宋体"/>
                <w:color w:val="000000"/>
                <w:kern w:val="0"/>
                <w:sz w:val="21"/>
                <w:szCs w:val="24"/>
                <w:lang w:eastAsia="zh-CN"/>
              </w:rPr>
              <w:t>）</w:t>
            </w:r>
          </w:p>
          <w:p>
            <w:pPr>
              <w:spacing w:line="240" w:lineRule="exact"/>
              <w:jc w:val="center"/>
              <w:rPr>
                <w:rFonts w:hint="eastAsia" w:ascii="宋体" w:hAnsi="宋体" w:eastAsia="宋体" w:cs="宋体"/>
                <w:color w:val="000000"/>
                <w:kern w:val="0"/>
                <w:sz w:val="21"/>
                <w:szCs w:val="24"/>
                <w:lang w:eastAsia="zh-CN"/>
              </w:rPr>
            </w:pPr>
            <w:r>
              <w:rPr>
                <w:rFonts w:hint="eastAsia" w:ascii="宋体" w:hAnsi="宋体" w:eastAsia="宋体" w:cs="宋体"/>
                <w:color w:val="000000"/>
                <w:kern w:val="0"/>
                <w:sz w:val="21"/>
                <w:szCs w:val="24"/>
                <w:lang w:val="en-US" w:eastAsia="zh-CN"/>
              </w:rPr>
              <w:t>适用于水冷式</w:t>
            </w:r>
            <w:r>
              <w:rPr>
                <w:rFonts w:hint="eastAsia" w:ascii="宋体" w:hAnsi="宋体" w:eastAsia="宋体" w:cs="宋体"/>
                <w:kern w:val="0"/>
                <w:sz w:val="21"/>
                <w:szCs w:val="24"/>
                <w:lang w:val="en-US" w:eastAsia="zh-CN"/>
              </w:rPr>
              <w:t>单元机</w:t>
            </w:r>
          </w:p>
        </w:tc>
        <w:tc>
          <w:tcPr>
            <w:tcW w:w="1681" w:type="dxa"/>
            <w:vMerge w:val="continue"/>
            <w:noWrap w:val="0"/>
            <w:vAlign w:val="center"/>
          </w:tcPr>
          <w:p>
            <w:pPr>
              <w:spacing w:line="240" w:lineRule="exact"/>
              <w:jc w:val="center"/>
              <w:rPr>
                <w:rFonts w:hint="eastAsia" w:ascii="宋体" w:hAnsi="宋体" w:eastAsia="宋体" w:cs="宋体"/>
                <w:kern w:val="0"/>
                <w:szCs w:val="18"/>
              </w:rPr>
            </w:pPr>
          </w:p>
        </w:tc>
        <w:tc>
          <w:tcPr>
            <w:tcW w:w="1387" w:type="dxa"/>
            <w:vMerge w:val="continue"/>
            <w:noWrap w:val="0"/>
            <w:vAlign w:val="center"/>
          </w:tcPr>
          <w:p>
            <w:pPr>
              <w:spacing w:line="240" w:lineRule="exact"/>
              <w:jc w:val="center"/>
              <w:rPr>
                <w:rFonts w:hint="eastAsia" w:ascii="宋体" w:hAnsi="宋体" w:eastAsia="宋体" w:cs="宋体"/>
                <w:kern w:val="0"/>
                <w:szCs w:val="18"/>
              </w:rPr>
            </w:pPr>
          </w:p>
        </w:tc>
        <w:tc>
          <w:tcPr>
            <w:tcW w:w="1524" w:type="dxa"/>
            <w:vMerge w:val="continue"/>
            <w:noWrap w:val="0"/>
            <w:vAlign w:val="center"/>
          </w:tcPr>
          <w:p>
            <w:pPr>
              <w:spacing w:line="240" w:lineRule="exact"/>
              <w:jc w:val="center"/>
              <w:rPr>
                <w:rFonts w:hint="eastAsia" w:ascii="宋体" w:hAnsi="宋体" w:eastAsia="宋体" w:cs="宋体"/>
                <w:kern w:val="0"/>
                <w:szCs w:val="18"/>
              </w:rPr>
            </w:pPr>
          </w:p>
        </w:tc>
        <w:tc>
          <w:tcPr>
            <w:tcW w:w="1447" w:type="dxa"/>
            <w:vMerge w:val="continue"/>
            <w:noWrap w:val="0"/>
            <w:vAlign w:val="center"/>
          </w:tcPr>
          <w:p>
            <w:pPr>
              <w:spacing w:line="240" w:lineRule="exact"/>
              <w:jc w:val="center"/>
              <w:rPr>
                <w:rFonts w:hint="eastAsia" w:ascii="宋体" w:hAnsi="宋体" w:eastAsia="宋体" w:cs="宋体"/>
                <w:kern w:val="0"/>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2" w:hRule="atLeast"/>
          <w:jc w:val="center"/>
        </w:trPr>
        <w:tc>
          <w:tcPr>
            <w:tcW w:w="426" w:type="dxa"/>
            <w:noWrap w:val="0"/>
            <w:vAlign w:val="center"/>
          </w:tcPr>
          <w:p>
            <w:pPr>
              <w:spacing w:line="240" w:lineRule="exact"/>
              <w:jc w:val="center"/>
              <w:rPr>
                <w:rFonts w:hint="eastAsia" w:ascii="宋体" w:hAnsi="宋体" w:eastAsia="宋体"/>
                <w:kern w:val="0"/>
                <w:szCs w:val="18"/>
                <w:lang w:val="en-US" w:eastAsia="zh-CN"/>
              </w:rPr>
            </w:pPr>
            <w:r>
              <w:rPr>
                <w:rFonts w:hint="eastAsia" w:ascii="宋体" w:hAnsi="宋体"/>
                <w:kern w:val="0"/>
                <w:szCs w:val="18"/>
                <w:lang w:val="en-US" w:eastAsia="zh-CN"/>
              </w:rPr>
              <w:t>3</w:t>
            </w:r>
          </w:p>
        </w:tc>
        <w:tc>
          <w:tcPr>
            <w:tcW w:w="567" w:type="dxa"/>
            <w:vMerge w:val="continue"/>
            <w:noWrap w:val="0"/>
            <w:vAlign w:val="center"/>
          </w:tcPr>
          <w:p>
            <w:pPr>
              <w:spacing w:line="240" w:lineRule="exact"/>
              <w:jc w:val="center"/>
              <w:rPr>
                <w:rFonts w:hint="eastAsia" w:ascii="宋体" w:hAnsi="宋体" w:eastAsia="宋体" w:cs="宋体"/>
                <w:kern w:val="0"/>
                <w:szCs w:val="18"/>
              </w:rPr>
            </w:pPr>
          </w:p>
        </w:tc>
        <w:tc>
          <w:tcPr>
            <w:tcW w:w="2363" w:type="dxa"/>
            <w:noWrap w:val="0"/>
            <w:vAlign w:val="center"/>
          </w:tcPr>
          <w:p>
            <w:pPr>
              <w:spacing w:line="240" w:lineRule="auto"/>
              <w:jc w:val="center"/>
              <w:rPr>
                <w:rFonts w:hint="eastAsia" w:ascii="宋体" w:hAnsi="宋体" w:eastAsia="宋体" w:cs="宋体"/>
                <w:color w:val="000000"/>
                <w:kern w:val="0"/>
                <w:sz w:val="21"/>
                <w:szCs w:val="18"/>
                <w:lang w:val="en-US" w:eastAsia="zh-CN"/>
              </w:rPr>
            </w:pPr>
            <w:r>
              <w:rPr>
                <w:rFonts w:hint="eastAsia" w:ascii="宋体" w:hAnsi="宋体" w:eastAsia="宋体" w:cs="宋体"/>
                <w:kern w:val="0"/>
                <w:szCs w:val="18"/>
                <w:lang w:val="en-US" w:eastAsia="zh-CN"/>
              </w:rPr>
              <w:t>噪声</w:t>
            </w:r>
            <w:r>
              <w:rPr>
                <w:rFonts w:hint="eastAsia" w:ascii="宋体" w:hAnsi="宋体" w:eastAsia="宋体" w:cs="宋体"/>
                <w:kern w:val="0"/>
                <w:szCs w:val="18"/>
              </w:rPr>
              <w:t>（声压级</w:t>
            </w:r>
            <w:r>
              <w:rPr>
                <w:rFonts w:hint="eastAsia" w:ascii="宋体" w:hAnsi="宋体" w:eastAsia="宋体" w:cs="宋体"/>
                <w:kern w:val="0"/>
                <w:szCs w:val="18"/>
                <w:lang w:val="en-US" w:eastAsia="zh-CN"/>
              </w:rPr>
              <w:t>)</w:t>
            </w:r>
          </w:p>
        </w:tc>
        <w:tc>
          <w:tcPr>
            <w:tcW w:w="1681" w:type="dxa"/>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GB/T</w:t>
            </w:r>
            <w:r>
              <w:rPr>
                <w:rFonts w:hint="eastAsia" w:ascii="宋体" w:hAnsi="宋体" w:eastAsia="宋体" w:cs="宋体"/>
                <w:kern w:val="0"/>
                <w:szCs w:val="18"/>
                <w:lang w:val="en-US" w:eastAsia="zh-CN"/>
              </w:rPr>
              <w:t>17758</w:t>
            </w:r>
          </w:p>
        </w:tc>
        <w:tc>
          <w:tcPr>
            <w:tcW w:w="1387" w:type="dxa"/>
            <w:noWrap w:val="0"/>
            <w:vAlign w:val="center"/>
          </w:tcPr>
          <w:p>
            <w:pPr>
              <w:spacing w:line="240" w:lineRule="auto"/>
              <w:jc w:val="center"/>
              <w:rPr>
                <w:rFonts w:hint="eastAsia" w:ascii="宋体" w:hAnsi="宋体" w:eastAsia="宋体" w:cs="宋体"/>
                <w:kern w:val="0"/>
                <w:szCs w:val="18"/>
              </w:rPr>
            </w:pPr>
            <w:r>
              <w:rPr>
                <w:rFonts w:hint="eastAsia" w:ascii="宋体" w:hAnsi="宋体" w:eastAsia="宋体" w:cs="宋体"/>
                <w:kern w:val="0"/>
                <w:szCs w:val="18"/>
              </w:rPr>
              <w:t>≤</w:t>
            </w:r>
            <w:r>
              <w:rPr>
                <w:rFonts w:hint="eastAsia" w:ascii="宋体" w:hAnsi="宋体" w:eastAsia="宋体" w:cs="宋体"/>
                <w:kern w:val="0"/>
                <w:szCs w:val="18"/>
                <w:lang w:val="en-US" w:eastAsia="zh-CN"/>
              </w:rPr>
              <w:t>标</w:t>
            </w:r>
            <w:r>
              <w:rPr>
                <w:rFonts w:hint="eastAsia" w:ascii="宋体" w:hAnsi="宋体" w:eastAsia="宋体" w:cs="宋体"/>
                <w:spacing w:val="0"/>
                <w:w w:val="100"/>
                <w:kern w:val="0"/>
                <w:szCs w:val="18"/>
                <w:lang w:val="en-US" w:eastAsia="zh-CN"/>
              </w:rPr>
              <w:t>准要求-3dB(A)</w:t>
            </w:r>
          </w:p>
        </w:tc>
        <w:tc>
          <w:tcPr>
            <w:tcW w:w="1524" w:type="dxa"/>
            <w:noWrap w:val="0"/>
            <w:vAlign w:val="center"/>
          </w:tcPr>
          <w:p>
            <w:pPr>
              <w:spacing w:line="240" w:lineRule="auto"/>
              <w:jc w:val="center"/>
              <w:rPr>
                <w:rFonts w:hint="eastAsia" w:ascii="宋体" w:hAnsi="宋体" w:eastAsia="宋体" w:cs="宋体"/>
                <w:kern w:val="0"/>
                <w:szCs w:val="18"/>
              </w:rPr>
            </w:pPr>
            <w:r>
              <w:rPr>
                <w:rFonts w:hint="eastAsia" w:ascii="宋体" w:hAnsi="宋体" w:eastAsia="宋体" w:cs="宋体"/>
                <w:kern w:val="0"/>
                <w:szCs w:val="18"/>
              </w:rPr>
              <w:t>≤</w:t>
            </w:r>
            <w:r>
              <w:rPr>
                <w:rFonts w:hint="eastAsia" w:ascii="宋体" w:hAnsi="宋体" w:eastAsia="宋体" w:cs="宋体"/>
                <w:kern w:val="0"/>
                <w:szCs w:val="18"/>
                <w:lang w:val="en-US" w:eastAsia="zh-CN"/>
              </w:rPr>
              <w:t>标</w:t>
            </w:r>
            <w:r>
              <w:rPr>
                <w:rFonts w:hint="eastAsia" w:ascii="宋体" w:hAnsi="宋体" w:eastAsia="宋体" w:cs="宋体"/>
                <w:spacing w:val="0"/>
                <w:w w:val="100"/>
                <w:kern w:val="0"/>
                <w:szCs w:val="18"/>
                <w:lang w:val="en-US" w:eastAsia="zh-CN"/>
              </w:rPr>
              <w:t>准要求-2dB(A)</w:t>
            </w:r>
          </w:p>
        </w:tc>
        <w:tc>
          <w:tcPr>
            <w:tcW w:w="1447" w:type="dxa"/>
            <w:noWrap w:val="0"/>
            <w:vAlign w:val="center"/>
          </w:tcPr>
          <w:p>
            <w:pPr>
              <w:spacing w:line="240" w:lineRule="auto"/>
              <w:jc w:val="center"/>
              <w:rPr>
                <w:rFonts w:hint="eastAsia" w:ascii="宋体" w:hAnsi="宋体" w:eastAsia="宋体" w:cs="宋体"/>
                <w:kern w:val="0"/>
                <w:szCs w:val="18"/>
              </w:rPr>
            </w:pPr>
            <w:r>
              <w:rPr>
                <w:rFonts w:hint="eastAsia" w:ascii="宋体" w:hAnsi="宋体" w:eastAsia="宋体" w:cs="宋体"/>
                <w:kern w:val="0"/>
                <w:szCs w:val="18"/>
              </w:rPr>
              <w:t>≤</w:t>
            </w:r>
            <w:r>
              <w:rPr>
                <w:rFonts w:hint="eastAsia" w:ascii="宋体" w:hAnsi="宋体" w:eastAsia="宋体" w:cs="宋体"/>
                <w:w w:val="100"/>
                <w:kern w:val="0"/>
                <w:szCs w:val="18"/>
                <w:lang w:val="en-US" w:eastAsia="zh-CN"/>
              </w:rPr>
              <w:t>标准要求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jc w:val="center"/>
        </w:trPr>
        <w:tc>
          <w:tcPr>
            <w:tcW w:w="426" w:type="dxa"/>
            <w:tcBorders>
              <w:left w:val="single" w:color="auto" w:sz="2" w:space="0"/>
              <w:right w:val="single" w:color="auto" w:sz="2" w:space="0"/>
            </w:tcBorders>
            <w:noWrap w:val="0"/>
            <w:vAlign w:val="center"/>
          </w:tcPr>
          <w:p>
            <w:pPr>
              <w:spacing w:line="240" w:lineRule="exact"/>
              <w:rPr>
                <w:rFonts w:hint="eastAsia" w:ascii="宋体" w:hAnsi="宋体" w:eastAsia="宋体"/>
                <w:kern w:val="0"/>
                <w:szCs w:val="18"/>
                <w:lang w:eastAsia="zh-CN"/>
              </w:rPr>
            </w:pPr>
            <w:r>
              <w:rPr>
                <w:rFonts w:hint="eastAsia" w:ascii="宋体" w:hAnsi="宋体"/>
                <w:kern w:val="0"/>
                <w:szCs w:val="18"/>
                <w:lang w:val="en-US" w:eastAsia="zh-CN"/>
              </w:rPr>
              <w:t>4</w:t>
            </w:r>
          </w:p>
        </w:tc>
        <w:tc>
          <w:tcPr>
            <w:tcW w:w="567" w:type="dxa"/>
            <w:vMerge w:val="restart"/>
            <w:tcBorders>
              <w:left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创新性指标</w:t>
            </w:r>
          </w:p>
          <w:p>
            <w:pPr>
              <w:spacing w:line="240" w:lineRule="exact"/>
              <w:jc w:val="center"/>
              <w:rPr>
                <w:rFonts w:hint="eastAsia" w:ascii="宋体" w:hAnsi="宋体" w:eastAsia="宋体" w:cs="宋体"/>
                <w:kern w:val="0"/>
                <w:szCs w:val="18"/>
              </w:rPr>
            </w:pPr>
          </w:p>
        </w:tc>
        <w:tc>
          <w:tcPr>
            <w:tcW w:w="2363" w:type="dxa"/>
            <w:tcBorders>
              <w:left w:val="single" w:color="auto" w:sz="2" w:space="0"/>
              <w:right w:val="single" w:color="auto" w:sz="2" w:space="0"/>
            </w:tcBorders>
            <w:noWrap w:val="0"/>
            <w:vAlign w:val="center"/>
          </w:tcPr>
          <w:p>
            <w:pPr>
              <w:spacing w:line="240" w:lineRule="exact"/>
              <w:jc w:val="center"/>
              <w:rPr>
                <w:rFonts w:hint="eastAsia" w:ascii="宋体" w:hAnsi="宋体" w:eastAsia="宋体" w:cs="宋体"/>
                <w:szCs w:val="18"/>
                <w:lang w:val="en-US" w:eastAsia="zh-CN"/>
              </w:rPr>
            </w:pPr>
            <w:r>
              <w:rPr>
                <w:rFonts w:hint="eastAsia" w:ascii="宋体" w:hAnsi="宋体" w:eastAsia="宋体" w:cs="宋体"/>
                <w:kern w:val="0"/>
                <w:szCs w:val="18"/>
                <w:lang w:val="en-US" w:eastAsia="zh-CN"/>
              </w:rPr>
              <w:t>超低温制热量</w:t>
            </w:r>
          </w:p>
        </w:tc>
        <w:tc>
          <w:tcPr>
            <w:tcW w:w="1681" w:type="dxa"/>
            <w:tcBorders>
              <w:left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GB/T</w:t>
            </w:r>
            <w:r>
              <w:rPr>
                <w:rFonts w:hint="eastAsia" w:ascii="宋体" w:hAnsi="宋体" w:eastAsia="宋体" w:cs="宋体"/>
                <w:kern w:val="0"/>
                <w:szCs w:val="18"/>
                <w:lang w:val="en-US" w:eastAsia="zh-CN"/>
              </w:rPr>
              <w:t>17758</w:t>
            </w:r>
          </w:p>
        </w:tc>
        <w:tc>
          <w:tcPr>
            <w:tcW w:w="1387"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eastAsia="宋体" w:cs="宋体"/>
                <w:kern w:val="0"/>
                <w:szCs w:val="18"/>
              </w:rPr>
            </w:pPr>
            <w:r>
              <w:rPr>
                <w:rFonts w:hint="eastAsia" w:ascii="宋体" w:hAnsi="宋体" w:eastAsia="宋体" w:cs="宋体"/>
                <w:kern w:val="0"/>
                <w:szCs w:val="18"/>
                <w:lang w:val="en-US" w:eastAsia="zh-CN"/>
              </w:rPr>
              <w:t>≥0.65</w:t>
            </w:r>
            <w:r>
              <w:rPr>
                <w:rFonts w:hint="eastAsia" w:ascii="宋体" w:hAnsi="宋体" w:eastAsia="宋体" w:cs="宋体"/>
                <w:kern w:val="0"/>
                <w:position w:val="-10"/>
                <w:szCs w:val="18"/>
                <w:lang w:val="en-US" w:eastAsia="zh-CN"/>
              </w:rPr>
              <w:object>
                <v:shape id="_x0000_i1025" o:spt="75" type="#_x0000_t75" style="height:17pt;width:22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p>
        </w:tc>
        <w:tc>
          <w:tcPr>
            <w:tcW w:w="2971"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≥0.601</w:t>
            </w:r>
            <w:r>
              <w:rPr>
                <w:rFonts w:hint="eastAsia" w:ascii="宋体" w:hAnsi="宋体" w:eastAsia="宋体" w:cs="宋体"/>
                <w:kern w:val="0"/>
                <w:position w:val="-10"/>
                <w:szCs w:val="18"/>
                <w:lang w:val="en-US" w:eastAsia="zh-CN"/>
              </w:rPr>
              <w:object>
                <v:shape id="_x0000_i1026" o:spt="75" type="#_x0000_t75" style="height:17pt;width:22pt;" o:ole="t" filled="f" o:preferrelative="t" stroked="f" coordsize="21600,21600">
                  <v:path/>
                  <v:fill on="f" focussize="0,0"/>
                  <v:stroke on="f"/>
                  <v:imagedata r:id="rId6" o:title=""/>
                  <o:lock v:ext="edit" aspectratio="t"/>
                  <w10:wrap type="none"/>
                  <w10:anchorlock/>
                </v:shape>
                <o:OLEObject Type="Embed" ProgID="Equation.KSEE3" ShapeID="_x0000_i1026" DrawAspect="Content" ObjectID="_1468075726" r:id="rId7">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jc w:val="center"/>
        </w:trPr>
        <w:tc>
          <w:tcPr>
            <w:tcW w:w="426" w:type="dxa"/>
            <w:tcBorders>
              <w:left w:val="single" w:color="auto" w:sz="2" w:space="0"/>
              <w:right w:val="single" w:color="auto" w:sz="2" w:space="0"/>
            </w:tcBorders>
            <w:noWrap w:val="0"/>
            <w:vAlign w:val="center"/>
          </w:tcPr>
          <w:p>
            <w:pPr>
              <w:spacing w:line="240" w:lineRule="exact"/>
              <w:rPr>
                <w:rFonts w:hint="eastAsia" w:ascii="宋体" w:hAnsi="宋体" w:eastAsia="宋体"/>
                <w:kern w:val="0"/>
                <w:szCs w:val="18"/>
                <w:lang w:eastAsia="zh-CN"/>
              </w:rPr>
            </w:pPr>
            <w:r>
              <w:rPr>
                <w:rFonts w:hint="eastAsia" w:ascii="宋体" w:hAnsi="宋体"/>
                <w:kern w:val="0"/>
                <w:szCs w:val="18"/>
                <w:lang w:val="en-US" w:eastAsia="zh-CN"/>
              </w:rPr>
              <w:t>5</w:t>
            </w:r>
          </w:p>
        </w:tc>
        <w:tc>
          <w:tcPr>
            <w:tcW w:w="567" w:type="dxa"/>
            <w:vMerge w:val="continue"/>
            <w:tcBorders>
              <w:left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rPr>
            </w:pPr>
          </w:p>
        </w:tc>
        <w:tc>
          <w:tcPr>
            <w:tcW w:w="2363" w:type="dxa"/>
            <w:tcBorders>
              <w:left w:val="single" w:color="auto" w:sz="2" w:space="0"/>
              <w:right w:val="single" w:color="auto" w:sz="2" w:space="0"/>
            </w:tcBorders>
            <w:noWrap w:val="0"/>
            <w:vAlign w:val="center"/>
          </w:tcPr>
          <w:p>
            <w:pPr>
              <w:spacing w:line="240" w:lineRule="exact"/>
              <w:jc w:val="center"/>
              <w:rPr>
                <w:rFonts w:hint="eastAsia" w:ascii="宋体" w:hAnsi="宋体" w:eastAsia="宋体" w:cs="宋体"/>
                <w:szCs w:val="18"/>
                <w:lang w:val="en-US" w:eastAsia="zh-CN"/>
              </w:rPr>
            </w:pPr>
            <w:r>
              <w:rPr>
                <w:rFonts w:hint="eastAsia" w:ascii="宋体" w:hAnsi="宋体" w:eastAsia="宋体" w:cs="宋体"/>
                <w:kern w:val="0"/>
                <w:szCs w:val="18"/>
                <w:lang w:val="en-US" w:eastAsia="zh-CN"/>
              </w:rPr>
              <w:t>超低温制热消耗功率</w:t>
            </w:r>
          </w:p>
        </w:tc>
        <w:tc>
          <w:tcPr>
            <w:tcW w:w="1681" w:type="dxa"/>
            <w:tcBorders>
              <w:left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rPr>
              <w:t>GB/T</w:t>
            </w:r>
            <w:r>
              <w:rPr>
                <w:rFonts w:hint="eastAsia" w:ascii="宋体" w:hAnsi="宋体" w:eastAsia="宋体" w:cs="宋体"/>
                <w:kern w:val="0"/>
                <w:szCs w:val="18"/>
                <w:lang w:val="en-US" w:eastAsia="zh-CN"/>
              </w:rPr>
              <w:t>17758</w:t>
            </w:r>
          </w:p>
        </w:tc>
        <w:tc>
          <w:tcPr>
            <w:tcW w:w="1387"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eastAsia="宋体" w:cs="宋体"/>
                <w:kern w:val="0"/>
                <w:szCs w:val="18"/>
              </w:rPr>
            </w:pPr>
            <w:r>
              <w:rPr>
                <w:rFonts w:hint="eastAsia" w:ascii="宋体" w:hAnsi="宋体" w:eastAsia="宋体" w:cs="宋体"/>
                <w:kern w:val="0"/>
                <w:szCs w:val="18"/>
                <w:lang w:val="en-US" w:eastAsia="zh-CN"/>
              </w:rPr>
              <w:t>≤0.75</w:t>
            </w:r>
            <w:r>
              <w:rPr>
                <w:rFonts w:hint="eastAsia" w:ascii="宋体" w:hAnsi="宋体" w:eastAsia="宋体" w:cs="宋体"/>
                <w:kern w:val="0"/>
                <w:position w:val="-10"/>
                <w:szCs w:val="18"/>
                <w:lang w:val="en-US" w:eastAsia="zh-CN"/>
              </w:rPr>
              <w:object>
                <v:shape id="_x0000_i1027" o:spt="75" type="#_x0000_t75" style="height:17pt;width:24pt;" o:ole="t" filled="f" o:preferrelative="t" stroked="f" coordsize="21600,21600">
                  <v:path/>
                  <v:fill on="f" focussize="0,0"/>
                  <v:stroke on="f"/>
                  <v:imagedata r:id="rId9" o:title=""/>
                  <o:lock v:ext="edit" aspectratio="t"/>
                  <w10:wrap type="none"/>
                  <w10:anchorlock/>
                </v:shape>
                <o:OLEObject Type="Embed" ProgID="Equation.KSEE3" ShapeID="_x0000_i1027" DrawAspect="Content" ObjectID="_1468075727" r:id="rId8">
                  <o:LockedField>false</o:LockedField>
                </o:OLEObject>
              </w:object>
            </w:r>
          </w:p>
        </w:tc>
        <w:tc>
          <w:tcPr>
            <w:tcW w:w="2971"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eastAsia="宋体" w:cs="宋体"/>
                <w:kern w:val="0"/>
                <w:szCs w:val="18"/>
              </w:rPr>
            </w:pPr>
            <w:r>
              <w:rPr>
                <w:rFonts w:hint="eastAsia" w:ascii="宋体" w:hAnsi="宋体" w:eastAsia="宋体" w:cs="宋体"/>
                <w:kern w:val="0"/>
                <w:szCs w:val="18"/>
                <w:lang w:val="en-US" w:eastAsia="zh-CN"/>
              </w:rPr>
              <w:t>≤0.801</w:t>
            </w:r>
            <w:r>
              <w:rPr>
                <w:rFonts w:hint="eastAsia" w:ascii="宋体" w:hAnsi="宋体" w:eastAsia="宋体" w:cs="宋体"/>
                <w:kern w:val="0"/>
                <w:position w:val="-10"/>
                <w:szCs w:val="18"/>
                <w:lang w:val="en-US" w:eastAsia="zh-CN"/>
              </w:rPr>
              <w:object>
                <v:shape id="_x0000_i1028" o:spt="75" type="#_x0000_t75" style="height:17pt;width:24pt;" o:ole="t" filled="f" o:preferrelative="t" stroked="f" coordsize="21600,21600">
                  <v:path/>
                  <v:fill on="f" focussize="0,0"/>
                  <v:stroke on="f"/>
                  <v:imagedata r:id="rId9" o:title=""/>
                  <o:lock v:ext="edit" aspectratio="t"/>
                  <w10:wrap type="none"/>
                  <w10:anchorlock/>
                </v:shape>
                <o:OLEObject Type="Embed" ProgID="Equation.KSEE3" ShapeID="_x0000_i1028" DrawAspect="Content" ObjectID="_1468075728" r:id="rId10">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jc w:val="center"/>
        </w:trPr>
        <w:tc>
          <w:tcPr>
            <w:tcW w:w="426" w:type="dxa"/>
            <w:tcBorders>
              <w:left w:val="single" w:color="auto" w:sz="2" w:space="0"/>
              <w:right w:val="single" w:color="auto" w:sz="2" w:space="0"/>
            </w:tcBorders>
            <w:noWrap w:val="0"/>
            <w:vAlign w:val="center"/>
          </w:tcPr>
          <w:p>
            <w:pPr>
              <w:spacing w:line="240" w:lineRule="exact"/>
              <w:rPr>
                <w:rFonts w:hint="eastAsia" w:ascii="宋体" w:hAnsi="宋体" w:eastAsia="宋体"/>
                <w:kern w:val="0"/>
                <w:szCs w:val="18"/>
                <w:lang w:val="en-US" w:eastAsia="zh-CN"/>
              </w:rPr>
            </w:pPr>
            <w:r>
              <w:rPr>
                <w:rFonts w:hint="eastAsia" w:ascii="宋体" w:hAnsi="宋体"/>
                <w:kern w:val="0"/>
                <w:szCs w:val="18"/>
                <w:lang w:val="en-US" w:eastAsia="zh-CN"/>
              </w:rPr>
              <w:t>6</w:t>
            </w:r>
          </w:p>
        </w:tc>
        <w:tc>
          <w:tcPr>
            <w:tcW w:w="567" w:type="dxa"/>
            <w:vMerge w:val="continue"/>
            <w:tcBorders>
              <w:left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rPr>
            </w:pPr>
          </w:p>
        </w:tc>
        <w:tc>
          <w:tcPr>
            <w:tcW w:w="2363" w:type="dxa"/>
            <w:tcBorders>
              <w:left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超高温制冷量</w:t>
            </w:r>
          </w:p>
        </w:tc>
        <w:tc>
          <w:tcPr>
            <w:tcW w:w="1681" w:type="dxa"/>
            <w:tcBorders>
              <w:left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附录B</w:t>
            </w:r>
          </w:p>
        </w:tc>
        <w:tc>
          <w:tcPr>
            <w:tcW w:w="1387" w:type="dxa"/>
            <w:tcBorders>
              <w:top w:val="single" w:color="auto" w:sz="2" w:space="0"/>
              <w:left w:val="single" w:color="auto" w:sz="2" w:space="0"/>
              <w:bottom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≥0.90</w:t>
            </w:r>
            <w:r>
              <w:rPr>
                <w:rFonts w:hint="eastAsia" w:ascii="宋体" w:hAnsi="宋体" w:eastAsia="宋体" w:cs="宋体"/>
                <w:kern w:val="0"/>
                <w:position w:val="-10"/>
                <w:szCs w:val="18"/>
                <w:lang w:val="en-US" w:eastAsia="zh-CN"/>
              </w:rPr>
              <w:object>
                <v:shape id="_x0000_i1029" o:spt="75" type="#_x0000_t75" style="height:17pt;width:19pt;" o:ole="t" filled="f" o:preferrelative="t" stroked="f" coordsize="21600,21600">
                  <v:path/>
                  <v:fill on="f" focussize="0,0"/>
                  <v:stroke on="f"/>
                  <v:imagedata r:id="rId12" o:title=""/>
                  <o:lock v:ext="edit" aspectratio="t"/>
                  <w10:wrap type="none"/>
                  <w10:anchorlock/>
                </v:shape>
                <o:OLEObject Type="Embed" ProgID="Equation.KSEE3" ShapeID="_x0000_i1029" DrawAspect="Content" ObjectID="_1468075729" r:id="rId11">
                  <o:LockedField>false</o:LockedField>
                </o:OLEObject>
              </w:object>
            </w:r>
          </w:p>
        </w:tc>
        <w:tc>
          <w:tcPr>
            <w:tcW w:w="2971"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≥0.85</w:t>
            </w:r>
            <w:r>
              <w:rPr>
                <w:rFonts w:hint="eastAsia" w:ascii="宋体" w:hAnsi="宋体" w:eastAsia="宋体" w:cs="宋体"/>
                <w:kern w:val="0"/>
                <w:position w:val="-10"/>
                <w:szCs w:val="18"/>
                <w:lang w:val="en-US" w:eastAsia="zh-CN"/>
              </w:rPr>
              <w:object>
                <v:shape id="_x0000_i1030" o:spt="75" type="#_x0000_t75" style="height:17pt;width:19pt;" o:ole="t" filled="f" o:preferrelative="t" stroked="f" coordsize="21600,21600">
                  <v:path/>
                  <v:fill on="f" focussize="0,0"/>
                  <v:stroke on="f"/>
                  <v:imagedata r:id="rId12" o:title=""/>
                  <o:lock v:ext="edit" aspectratio="t"/>
                  <w10:wrap type="none"/>
                  <w10:anchorlock/>
                </v:shape>
                <o:OLEObject Type="Embed" ProgID="Equation.KSEE3" ShapeID="_x0000_i1030" DrawAspect="Content" ObjectID="_1468075730" r:id="rId13">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jc w:val="center"/>
        </w:trPr>
        <w:tc>
          <w:tcPr>
            <w:tcW w:w="426" w:type="dxa"/>
            <w:tcBorders>
              <w:left w:val="single" w:color="auto" w:sz="2" w:space="0"/>
              <w:right w:val="single" w:color="auto" w:sz="2" w:space="0"/>
            </w:tcBorders>
            <w:noWrap w:val="0"/>
            <w:vAlign w:val="center"/>
          </w:tcPr>
          <w:p>
            <w:pPr>
              <w:spacing w:line="240" w:lineRule="exact"/>
              <w:rPr>
                <w:rFonts w:hint="eastAsia" w:ascii="宋体" w:hAnsi="宋体" w:eastAsia="宋体"/>
                <w:kern w:val="0"/>
                <w:szCs w:val="18"/>
                <w:lang w:eastAsia="zh-CN"/>
              </w:rPr>
            </w:pPr>
            <w:r>
              <w:rPr>
                <w:rFonts w:hint="eastAsia" w:ascii="宋体" w:hAnsi="宋体"/>
                <w:kern w:val="0"/>
                <w:szCs w:val="18"/>
                <w:lang w:val="en-US" w:eastAsia="zh-CN"/>
              </w:rPr>
              <w:t>7</w:t>
            </w:r>
          </w:p>
        </w:tc>
        <w:tc>
          <w:tcPr>
            <w:tcW w:w="567" w:type="dxa"/>
            <w:vMerge w:val="continue"/>
            <w:tcBorders>
              <w:left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rPr>
            </w:pPr>
          </w:p>
        </w:tc>
        <w:tc>
          <w:tcPr>
            <w:tcW w:w="2363" w:type="dxa"/>
            <w:tcBorders>
              <w:left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超高温制冷消耗功率</w:t>
            </w:r>
          </w:p>
        </w:tc>
        <w:tc>
          <w:tcPr>
            <w:tcW w:w="1681" w:type="dxa"/>
            <w:tcBorders>
              <w:left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附录B</w:t>
            </w:r>
          </w:p>
        </w:tc>
        <w:tc>
          <w:tcPr>
            <w:tcW w:w="1387" w:type="dxa"/>
            <w:tcBorders>
              <w:top w:val="single" w:color="auto" w:sz="2" w:space="0"/>
              <w:left w:val="single" w:color="auto" w:sz="2" w:space="0"/>
              <w:bottom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lang w:val="en-US" w:eastAsia="zh-CN"/>
              </w:rPr>
              <w:t>≤1.10</w:t>
            </w:r>
            <w:r>
              <w:rPr>
                <w:rFonts w:hint="eastAsia" w:ascii="宋体" w:hAnsi="宋体" w:eastAsia="宋体" w:cs="宋体"/>
                <w:kern w:val="0"/>
                <w:position w:val="-10"/>
                <w:szCs w:val="18"/>
                <w:lang w:val="en-US" w:eastAsia="zh-CN"/>
              </w:rPr>
              <w:object>
                <v:shape id="_x0000_i1031" o:spt="75" type="#_x0000_t75" style="height:17pt;width:21pt;" o:ole="t" filled="f" o:preferrelative="t" stroked="f" coordsize="21600,21600">
                  <v:path/>
                  <v:fill on="f" focussize="0,0"/>
                  <v:stroke on="f"/>
                  <v:imagedata r:id="rId15" o:title=""/>
                  <o:lock v:ext="edit" aspectratio="t"/>
                  <w10:wrap type="none"/>
                  <w10:anchorlock/>
                </v:shape>
                <o:OLEObject Type="Embed" ProgID="Equation.KSEE3" ShapeID="_x0000_i1031" DrawAspect="Content" ObjectID="_1468075731" r:id="rId14">
                  <o:LockedField>false</o:LockedField>
                </o:OLEObject>
              </w:object>
            </w:r>
          </w:p>
        </w:tc>
        <w:tc>
          <w:tcPr>
            <w:tcW w:w="2971"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≤1.15</w:t>
            </w:r>
            <w:r>
              <w:rPr>
                <w:rFonts w:hint="eastAsia" w:ascii="宋体" w:hAnsi="宋体" w:eastAsia="宋体" w:cs="宋体"/>
                <w:kern w:val="0"/>
                <w:position w:val="-10"/>
                <w:szCs w:val="18"/>
                <w:lang w:val="en-US" w:eastAsia="zh-CN"/>
              </w:rPr>
              <w:object>
                <v:shape id="_x0000_i1032" o:spt="75" type="#_x0000_t75" style="height:17pt;width:21pt;" o:ole="t" filled="f" o:preferrelative="t" stroked="f" coordsize="21600,21600">
                  <v:path/>
                  <v:fill on="f" focussize="0,0"/>
                  <v:stroke on="f"/>
                  <v:imagedata r:id="rId15" o:title=""/>
                  <o:lock v:ext="edit" aspectratio="t"/>
                  <w10:wrap type="none"/>
                  <w10:anchorlock/>
                </v:shape>
                <o:OLEObject Type="Embed" ProgID="Equation.KSEE3" ShapeID="_x0000_i1032" DrawAspect="Content" ObjectID="_1468075732" r:id="rId16">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jc w:val="center"/>
        </w:trPr>
        <w:tc>
          <w:tcPr>
            <w:tcW w:w="426" w:type="dxa"/>
            <w:tcBorders>
              <w:left w:val="single" w:color="auto" w:sz="2" w:space="0"/>
              <w:right w:val="single" w:color="auto" w:sz="2" w:space="0"/>
            </w:tcBorders>
            <w:noWrap w:val="0"/>
            <w:vAlign w:val="center"/>
          </w:tcPr>
          <w:p>
            <w:pPr>
              <w:spacing w:line="240" w:lineRule="exact"/>
              <w:rPr>
                <w:rFonts w:hint="eastAsia" w:ascii="宋体" w:hAnsi="宋体" w:eastAsia="宋体"/>
                <w:kern w:val="0"/>
                <w:szCs w:val="18"/>
                <w:lang w:eastAsia="zh-CN"/>
              </w:rPr>
            </w:pPr>
            <w:r>
              <w:rPr>
                <w:rFonts w:hint="eastAsia" w:ascii="宋体" w:hAnsi="宋体"/>
                <w:kern w:val="0"/>
                <w:szCs w:val="18"/>
                <w:lang w:val="en-US" w:eastAsia="zh-CN"/>
              </w:rPr>
              <w:t>8</w:t>
            </w:r>
          </w:p>
        </w:tc>
        <w:tc>
          <w:tcPr>
            <w:tcW w:w="567" w:type="dxa"/>
            <w:vMerge w:val="continue"/>
            <w:tcBorders>
              <w:left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rPr>
            </w:pPr>
          </w:p>
        </w:tc>
        <w:tc>
          <w:tcPr>
            <w:tcW w:w="2363" w:type="dxa"/>
            <w:tcBorders>
              <w:left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风冷比</w:t>
            </w:r>
          </w:p>
        </w:tc>
        <w:tc>
          <w:tcPr>
            <w:tcW w:w="1681" w:type="dxa"/>
            <w:tcBorders>
              <w:left w:val="single" w:color="auto" w:sz="2" w:space="0"/>
              <w:right w:val="single" w:color="auto" w:sz="2" w:space="0"/>
            </w:tcBorders>
            <w:noWrap w:val="0"/>
            <w:vAlign w:val="center"/>
          </w:tcPr>
          <w:p>
            <w:pPr>
              <w:spacing w:before="0" w:line="240" w:lineRule="exact"/>
              <w:ind w:right="0"/>
              <w:jc w:val="center"/>
              <w:rPr>
                <w:rFonts w:hint="eastAsia" w:ascii="宋体" w:hAnsi="宋体" w:eastAsia="宋体" w:cs="宋体"/>
                <w:kern w:val="0"/>
                <w:szCs w:val="18"/>
              </w:rPr>
            </w:pPr>
            <w:r>
              <w:rPr>
                <w:rFonts w:hint="eastAsia" w:ascii="宋体" w:hAnsi="宋体" w:eastAsia="宋体" w:cs="宋体"/>
                <w:kern w:val="0"/>
                <w:szCs w:val="18"/>
                <w:lang w:val="en-US" w:eastAsia="zh-CN"/>
              </w:rPr>
              <w:t>附录B</w:t>
            </w:r>
          </w:p>
        </w:tc>
        <w:tc>
          <w:tcPr>
            <w:tcW w:w="1387" w:type="dxa"/>
            <w:tcBorders>
              <w:top w:val="single" w:color="auto" w:sz="2" w:space="0"/>
              <w:left w:val="single" w:color="auto" w:sz="2" w:space="0"/>
              <w:bottom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rPr>
            </w:pPr>
            <w:r>
              <w:rPr>
                <w:rFonts w:hint="eastAsia" w:ascii="宋体" w:hAnsi="宋体" w:eastAsia="宋体" w:cs="宋体"/>
                <w:kern w:val="0"/>
                <w:szCs w:val="18"/>
                <w:lang w:val="en-US" w:eastAsia="zh-CN"/>
              </w:rPr>
              <w:t>≤150m</w:t>
            </w:r>
            <w:r>
              <w:rPr>
                <w:rFonts w:hint="eastAsia" w:ascii="宋体" w:hAnsi="宋体" w:eastAsia="宋体" w:cs="宋体"/>
                <w:kern w:val="0"/>
                <w:szCs w:val="18"/>
                <w:vertAlign w:val="superscript"/>
                <w:lang w:val="en-US" w:eastAsia="zh-CN"/>
              </w:rPr>
              <w:t>3</w:t>
            </w:r>
            <w:r>
              <w:rPr>
                <w:rFonts w:hint="eastAsia" w:ascii="宋体" w:hAnsi="宋体" w:eastAsia="宋体" w:cs="宋体"/>
                <w:kern w:val="0"/>
                <w:szCs w:val="18"/>
                <w:lang w:val="en-US" w:eastAsia="zh-CN"/>
              </w:rPr>
              <w:t>/h/kW</w:t>
            </w:r>
          </w:p>
        </w:tc>
        <w:tc>
          <w:tcPr>
            <w:tcW w:w="2971"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≤180m</w:t>
            </w:r>
            <w:r>
              <w:rPr>
                <w:rFonts w:hint="eastAsia" w:ascii="宋体" w:hAnsi="宋体" w:eastAsia="宋体" w:cs="宋体"/>
                <w:kern w:val="0"/>
                <w:szCs w:val="18"/>
                <w:vertAlign w:val="superscript"/>
                <w:lang w:val="en-US" w:eastAsia="zh-CN"/>
              </w:rPr>
              <w:t>3</w:t>
            </w:r>
            <w:r>
              <w:rPr>
                <w:rFonts w:hint="eastAsia" w:ascii="宋体" w:hAnsi="宋体" w:eastAsia="宋体" w:cs="宋体"/>
                <w:kern w:val="0"/>
                <w:szCs w:val="18"/>
                <w:lang w:val="en-US" w:eastAsia="zh-CN"/>
              </w:rPr>
              <w:t>/h/kW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atLeast"/>
          <w:jc w:val="center"/>
        </w:trPr>
        <w:tc>
          <w:tcPr>
            <w:tcW w:w="426" w:type="dxa"/>
            <w:tcBorders>
              <w:left w:val="single" w:color="auto" w:sz="2" w:space="0"/>
              <w:right w:val="single" w:color="auto" w:sz="2" w:space="0"/>
            </w:tcBorders>
            <w:noWrap w:val="0"/>
            <w:vAlign w:val="center"/>
          </w:tcPr>
          <w:p>
            <w:pPr>
              <w:spacing w:line="240" w:lineRule="exact"/>
              <w:rPr>
                <w:rFonts w:hint="eastAsia" w:ascii="宋体" w:hAnsi="宋体" w:eastAsia="宋体"/>
                <w:kern w:val="0"/>
                <w:szCs w:val="18"/>
                <w:lang w:val="en-US" w:eastAsia="zh-CN"/>
              </w:rPr>
            </w:pPr>
            <w:r>
              <w:rPr>
                <w:rFonts w:hint="eastAsia" w:ascii="宋体" w:hAnsi="宋体"/>
                <w:kern w:val="0"/>
                <w:szCs w:val="18"/>
                <w:lang w:val="en-US" w:eastAsia="zh-CN"/>
              </w:rPr>
              <w:t>9</w:t>
            </w:r>
          </w:p>
        </w:tc>
        <w:tc>
          <w:tcPr>
            <w:tcW w:w="567" w:type="dxa"/>
            <w:vMerge w:val="continue"/>
            <w:tcBorders>
              <w:left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rPr>
            </w:pPr>
          </w:p>
        </w:tc>
        <w:tc>
          <w:tcPr>
            <w:tcW w:w="2363" w:type="dxa"/>
            <w:tcBorders>
              <w:left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稳态制热</w:t>
            </w:r>
          </w:p>
        </w:tc>
        <w:tc>
          <w:tcPr>
            <w:tcW w:w="1681" w:type="dxa"/>
            <w:tcBorders>
              <w:left w:val="single" w:color="auto" w:sz="2" w:space="0"/>
              <w:right w:val="single" w:color="auto" w:sz="2" w:space="0"/>
            </w:tcBorders>
            <w:noWrap w:val="0"/>
            <w:vAlign w:val="center"/>
          </w:tcPr>
          <w:p>
            <w:pPr>
              <w:spacing w:before="0" w:line="240" w:lineRule="exact"/>
              <w:ind w:right="0"/>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附录B</w:t>
            </w:r>
          </w:p>
        </w:tc>
        <w:tc>
          <w:tcPr>
            <w:tcW w:w="1387" w:type="dxa"/>
            <w:tcBorders>
              <w:top w:val="single" w:color="auto" w:sz="2" w:space="0"/>
              <w:left w:val="single" w:color="auto" w:sz="2" w:space="0"/>
              <w:bottom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稳态制热</w:t>
            </w:r>
          </w:p>
        </w:tc>
        <w:tc>
          <w:tcPr>
            <w:tcW w:w="2971"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426" w:type="dxa"/>
            <w:tcBorders>
              <w:left w:val="single" w:color="auto" w:sz="2" w:space="0"/>
              <w:right w:val="single" w:color="auto" w:sz="2" w:space="0"/>
            </w:tcBorders>
            <w:noWrap w:val="0"/>
            <w:vAlign w:val="center"/>
          </w:tcPr>
          <w:p>
            <w:pPr>
              <w:spacing w:line="240" w:lineRule="exact"/>
              <w:rPr>
                <w:rFonts w:hint="default" w:ascii="宋体" w:hAnsi="宋体" w:eastAsia="宋体"/>
                <w:kern w:val="0"/>
                <w:szCs w:val="18"/>
                <w:lang w:val="en-US" w:eastAsia="zh-CN"/>
              </w:rPr>
            </w:pPr>
            <w:r>
              <w:rPr>
                <w:rFonts w:hint="eastAsia" w:ascii="宋体" w:hAnsi="宋体"/>
                <w:kern w:val="0"/>
                <w:szCs w:val="18"/>
                <w:lang w:val="en-US" w:eastAsia="zh-CN"/>
              </w:rPr>
              <w:t>10</w:t>
            </w:r>
          </w:p>
        </w:tc>
        <w:tc>
          <w:tcPr>
            <w:tcW w:w="567" w:type="dxa"/>
            <w:vMerge w:val="continue"/>
            <w:tcBorders>
              <w:left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rPr>
            </w:pPr>
          </w:p>
        </w:tc>
        <w:tc>
          <w:tcPr>
            <w:tcW w:w="2363" w:type="dxa"/>
            <w:tcBorders>
              <w:left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使用制冷剂</w:t>
            </w:r>
          </w:p>
        </w:tc>
        <w:tc>
          <w:tcPr>
            <w:tcW w:w="1681" w:type="dxa"/>
            <w:tcBorders>
              <w:left w:val="single" w:color="auto" w:sz="2" w:space="0"/>
              <w:right w:val="single" w:color="auto" w:sz="2" w:space="0"/>
            </w:tcBorders>
            <w:noWrap w:val="0"/>
            <w:vAlign w:val="center"/>
          </w:tcPr>
          <w:p>
            <w:pPr>
              <w:spacing w:before="0" w:line="240" w:lineRule="exact"/>
              <w:ind w:right="0"/>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w:t>
            </w:r>
          </w:p>
        </w:tc>
        <w:tc>
          <w:tcPr>
            <w:tcW w:w="1387" w:type="dxa"/>
            <w:tcBorders>
              <w:top w:val="single" w:color="auto" w:sz="2" w:space="0"/>
              <w:left w:val="single" w:color="auto" w:sz="2" w:space="0"/>
              <w:bottom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ODP=0</w:t>
            </w:r>
          </w:p>
        </w:tc>
        <w:tc>
          <w:tcPr>
            <w:tcW w:w="2971"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ODP＞0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jc w:val="center"/>
        </w:trPr>
        <w:tc>
          <w:tcPr>
            <w:tcW w:w="426" w:type="dxa"/>
            <w:tcBorders>
              <w:left w:val="single" w:color="auto" w:sz="2" w:space="0"/>
              <w:right w:val="single" w:color="auto" w:sz="2" w:space="0"/>
            </w:tcBorders>
            <w:noWrap w:val="0"/>
            <w:vAlign w:val="center"/>
          </w:tcPr>
          <w:p>
            <w:pPr>
              <w:spacing w:line="240" w:lineRule="exact"/>
              <w:rPr>
                <w:rFonts w:hint="default" w:ascii="宋体" w:hAnsi="宋体"/>
                <w:kern w:val="0"/>
                <w:szCs w:val="18"/>
                <w:lang w:val="en-US" w:eastAsia="zh-CN"/>
              </w:rPr>
            </w:pPr>
            <w:r>
              <w:rPr>
                <w:rFonts w:hint="eastAsia" w:ascii="宋体" w:hAnsi="宋体"/>
                <w:kern w:val="0"/>
                <w:szCs w:val="18"/>
                <w:lang w:val="en-US" w:eastAsia="zh-CN"/>
              </w:rPr>
              <w:t>11</w:t>
            </w:r>
          </w:p>
        </w:tc>
        <w:tc>
          <w:tcPr>
            <w:tcW w:w="567" w:type="dxa"/>
            <w:vMerge w:val="continue"/>
            <w:tcBorders>
              <w:left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rPr>
            </w:pPr>
          </w:p>
        </w:tc>
        <w:tc>
          <w:tcPr>
            <w:tcW w:w="2363" w:type="dxa"/>
            <w:tcBorders>
              <w:left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单位制冷量制冷剂充注量</w:t>
            </w:r>
          </w:p>
        </w:tc>
        <w:tc>
          <w:tcPr>
            <w:tcW w:w="1681" w:type="dxa"/>
            <w:tcBorders>
              <w:left w:val="single" w:color="auto" w:sz="2" w:space="0"/>
              <w:right w:val="single" w:color="auto" w:sz="2" w:space="0"/>
            </w:tcBorders>
            <w:noWrap w:val="0"/>
            <w:vAlign w:val="center"/>
          </w:tcPr>
          <w:p>
            <w:pPr>
              <w:spacing w:before="0" w:line="240" w:lineRule="exact"/>
              <w:ind w:right="0"/>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附录B</w:t>
            </w:r>
          </w:p>
        </w:tc>
        <w:tc>
          <w:tcPr>
            <w:tcW w:w="1387" w:type="dxa"/>
            <w:tcBorders>
              <w:top w:val="single" w:color="auto" w:sz="2" w:space="0"/>
              <w:left w:val="single" w:color="auto" w:sz="2" w:space="0"/>
              <w:bottom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标称的制冷剂充注量与实测制冷量的比值＜0.30</w:t>
            </w:r>
          </w:p>
        </w:tc>
        <w:tc>
          <w:tcPr>
            <w:tcW w:w="2971"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标称的制冷剂充注量与实测制冷量的比值≥0.30</w:t>
            </w:r>
          </w:p>
        </w:tc>
      </w:tr>
    </w:tbl>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3、评价方法（第五章）</w:t>
      </w:r>
    </w:p>
    <w:p>
      <w:pPr>
        <w:pStyle w:val="14"/>
        <w:spacing w:line="300" w:lineRule="auto"/>
        <w:ind w:firstLineChars="0"/>
        <w:jc w:val="left"/>
        <w:rPr>
          <w:rFonts w:hAnsi="宋体"/>
          <w:bCs/>
          <w:color w:val="000000"/>
          <w:sz w:val="28"/>
          <w:szCs w:val="28"/>
        </w:rPr>
      </w:pPr>
      <w:bookmarkStart w:id="1" w:name="_Hlk35975531"/>
      <w:r>
        <w:rPr>
          <w:rFonts w:hint="eastAsia" w:hAnsi="宋体" w:cstheme="majorEastAsia"/>
          <w:bCs/>
          <w:color w:val="000000" w:themeColor="text1"/>
          <w:sz w:val="28"/>
          <w:szCs w:val="28"/>
        </w:rPr>
        <w:t>评价结果划分为一级、二级和三级，各等级所对应的划分依据见表</w:t>
      </w:r>
      <w:r>
        <w:rPr>
          <w:rFonts w:hAnsi="宋体"/>
          <w:bCs/>
          <w:color w:val="000000" w:themeColor="text1"/>
          <w:sz w:val="28"/>
          <w:szCs w:val="28"/>
        </w:rPr>
        <w:t>2</w:t>
      </w:r>
      <w:r>
        <w:rPr>
          <w:rFonts w:hint="eastAsia" w:hAnsi="宋体" w:cstheme="majorEastAsia"/>
          <w:bCs/>
          <w:color w:val="000000" w:themeColor="text1"/>
          <w:sz w:val="28"/>
          <w:szCs w:val="28"/>
        </w:rPr>
        <w:t>。</w:t>
      </w:r>
      <w:r>
        <w:rPr>
          <w:rFonts w:hint="eastAsia" w:hAnsi="宋体"/>
          <w:bCs/>
          <w:color w:val="000000"/>
          <w:sz w:val="28"/>
          <w:szCs w:val="28"/>
        </w:rPr>
        <w:t>达到三级要求及以上的企业标准并按照有关要求进行自我声明公开后均可进入</w:t>
      </w:r>
      <w:r>
        <w:rPr>
          <w:rFonts w:hint="eastAsia" w:ascii="宋体" w:hAnsi="宋体" w:eastAsia="宋体" w:cs="华文楷体"/>
          <w:sz w:val="28"/>
          <w:szCs w:val="28"/>
          <w:lang w:val="en-US" w:eastAsia="zh-CN"/>
        </w:rPr>
        <w:t>单元式空气调节机组</w:t>
      </w:r>
      <w:r>
        <w:rPr>
          <w:rFonts w:hint="eastAsia" w:hAnsi="宋体"/>
          <w:bCs/>
          <w:color w:val="000000"/>
          <w:sz w:val="28"/>
          <w:szCs w:val="28"/>
        </w:rPr>
        <w:t>产品企业标准排行榜。达到一级要求的企业标准，且按照有关要求进行自我声明公开后，其标准和符合标准的产品可以直接进入</w:t>
      </w:r>
      <w:r>
        <w:rPr>
          <w:rFonts w:hint="eastAsia" w:ascii="宋体" w:hAnsi="宋体" w:eastAsia="宋体" w:cs="华文楷体"/>
          <w:sz w:val="28"/>
          <w:szCs w:val="28"/>
          <w:lang w:val="en-US" w:eastAsia="zh-CN"/>
        </w:rPr>
        <w:t>单元式空气调节机组</w:t>
      </w:r>
      <w:r>
        <w:rPr>
          <w:rFonts w:hint="eastAsia" w:hAnsi="宋体"/>
          <w:bCs/>
          <w:color w:val="000000"/>
          <w:sz w:val="28"/>
          <w:szCs w:val="28"/>
        </w:rPr>
        <w:t>产品的企业标准“领跑者”候选名单。</w:t>
      </w:r>
      <w:bookmarkEnd w:id="1"/>
    </w:p>
    <w:p>
      <w:pPr>
        <w:pStyle w:val="14"/>
        <w:spacing w:line="300" w:lineRule="auto"/>
        <w:ind w:firstLineChars="0"/>
        <w:jc w:val="center"/>
        <w:rPr>
          <w:rFonts w:hint="eastAsia" w:ascii="黑体" w:hAnsi="黑体" w:eastAsia="黑体" w:cs="黑体"/>
          <w:bCs/>
          <w:color w:val="000000" w:themeColor="text1"/>
          <w:szCs w:val="21"/>
        </w:rPr>
      </w:pPr>
    </w:p>
    <w:p>
      <w:pPr>
        <w:pStyle w:val="14"/>
        <w:spacing w:line="300" w:lineRule="auto"/>
        <w:ind w:firstLineChars="0"/>
        <w:jc w:val="center"/>
        <w:rPr>
          <w:rFonts w:hint="eastAsia" w:ascii="黑体" w:hAnsi="黑体" w:eastAsia="黑体" w:cs="黑体"/>
          <w:bCs/>
          <w:color w:val="000000" w:themeColor="text1"/>
          <w:szCs w:val="21"/>
        </w:rPr>
      </w:pPr>
    </w:p>
    <w:p>
      <w:pPr>
        <w:pStyle w:val="14"/>
        <w:spacing w:line="300" w:lineRule="auto"/>
        <w:ind w:firstLineChars="0"/>
        <w:jc w:val="center"/>
        <w:rPr>
          <w:rFonts w:hint="eastAsia" w:ascii="黑体" w:hAnsi="黑体" w:eastAsia="黑体" w:cs="黑体"/>
          <w:bCs/>
          <w:color w:val="000000" w:themeColor="text1"/>
          <w:szCs w:val="21"/>
        </w:rPr>
      </w:pPr>
    </w:p>
    <w:p>
      <w:pPr>
        <w:pStyle w:val="14"/>
        <w:spacing w:line="300" w:lineRule="auto"/>
        <w:ind w:firstLineChars="0"/>
        <w:jc w:val="center"/>
        <w:rPr>
          <w:rFonts w:hint="eastAsia" w:ascii="黑体" w:hAnsi="黑体" w:eastAsia="黑体" w:cs="黑体"/>
          <w:bCs/>
          <w:color w:val="000000" w:themeColor="text1"/>
          <w:szCs w:val="21"/>
        </w:rPr>
      </w:pPr>
    </w:p>
    <w:p>
      <w:pPr>
        <w:pStyle w:val="14"/>
        <w:spacing w:line="300" w:lineRule="auto"/>
        <w:ind w:firstLineChars="0"/>
        <w:jc w:val="center"/>
        <w:rPr>
          <w:rFonts w:hint="eastAsia" w:ascii="黑体" w:hAnsi="黑体" w:eastAsia="黑体" w:cs="黑体"/>
          <w:bCs/>
          <w:color w:val="000000" w:themeColor="text1"/>
          <w:szCs w:val="21"/>
        </w:rPr>
      </w:pPr>
    </w:p>
    <w:p>
      <w:pPr>
        <w:pStyle w:val="14"/>
        <w:spacing w:line="300" w:lineRule="auto"/>
        <w:ind w:firstLineChars="0"/>
        <w:jc w:val="center"/>
        <w:rPr>
          <w:rFonts w:ascii="黑体" w:hAnsi="黑体" w:eastAsia="黑体" w:cs="黑体"/>
          <w:bCs/>
          <w:color w:val="000000" w:themeColor="text1"/>
          <w:szCs w:val="21"/>
        </w:rPr>
      </w:pPr>
      <w:r>
        <w:rPr>
          <w:rFonts w:hint="eastAsia" w:ascii="黑体" w:hAnsi="黑体" w:eastAsia="黑体" w:cs="黑体"/>
          <w:bCs/>
          <w:color w:val="000000" w:themeColor="text1"/>
          <w:szCs w:val="21"/>
        </w:rPr>
        <w:t>表</w:t>
      </w:r>
      <w:r>
        <w:rPr>
          <w:rFonts w:ascii="Times New Roman" w:eastAsia="黑体"/>
          <w:bCs/>
          <w:color w:val="000000" w:themeColor="text1"/>
          <w:szCs w:val="21"/>
        </w:rPr>
        <w:t xml:space="preserve">2 </w:t>
      </w:r>
      <w:r>
        <w:rPr>
          <w:rFonts w:hint="eastAsia" w:ascii="黑体" w:hAnsi="黑体" w:eastAsia="黑体" w:cs="黑体"/>
          <w:bCs/>
          <w:color w:val="000000" w:themeColor="text1"/>
          <w:szCs w:val="21"/>
        </w:rPr>
        <w:t>指标评价要求等级划分</w:t>
      </w:r>
    </w:p>
    <w:tbl>
      <w:tblPr>
        <w:tblStyle w:val="18"/>
        <w:tblW w:w="87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996"/>
        <w:gridCol w:w="1334"/>
        <w:gridCol w:w="2388"/>
        <w:gridCol w:w="2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6" w:type="dxa"/>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评价等级</w:t>
            </w:r>
          </w:p>
        </w:tc>
        <w:tc>
          <w:tcPr>
            <w:tcW w:w="7189" w:type="dxa"/>
            <w:gridSpan w:val="4"/>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满足条件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6" w:type="dxa"/>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一级应同时满足</w:t>
            </w:r>
          </w:p>
        </w:tc>
        <w:tc>
          <w:tcPr>
            <w:tcW w:w="996" w:type="dxa"/>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基本要求</w:t>
            </w:r>
          </w:p>
        </w:tc>
        <w:tc>
          <w:tcPr>
            <w:tcW w:w="1334" w:type="dxa"/>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基础指标要求</w:t>
            </w:r>
          </w:p>
        </w:tc>
        <w:tc>
          <w:tcPr>
            <w:tcW w:w="2388" w:type="dxa"/>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核心指标先进水平要求</w:t>
            </w:r>
          </w:p>
        </w:tc>
        <w:tc>
          <w:tcPr>
            <w:tcW w:w="2471" w:type="dxa"/>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创新性指标先进水平要求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6" w:type="dxa"/>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二级应同时满足</w:t>
            </w:r>
          </w:p>
        </w:tc>
        <w:tc>
          <w:tcPr>
            <w:tcW w:w="996" w:type="dxa"/>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基本要求</w:t>
            </w:r>
          </w:p>
        </w:tc>
        <w:tc>
          <w:tcPr>
            <w:tcW w:w="1334" w:type="dxa"/>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基础指标要求</w:t>
            </w:r>
          </w:p>
        </w:tc>
        <w:tc>
          <w:tcPr>
            <w:tcW w:w="2388" w:type="dxa"/>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核心指标平均水平要求</w:t>
            </w:r>
          </w:p>
        </w:tc>
        <w:tc>
          <w:tcPr>
            <w:tcW w:w="2471" w:type="dxa"/>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创新性指标平均水平要求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6" w:type="dxa"/>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三级应同时满足</w:t>
            </w:r>
          </w:p>
        </w:tc>
        <w:tc>
          <w:tcPr>
            <w:tcW w:w="996" w:type="dxa"/>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基本要求</w:t>
            </w:r>
          </w:p>
        </w:tc>
        <w:tc>
          <w:tcPr>
            <w:tcW w:w="1334" w:type="dxa"/>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基础指标要求</w:t>
            </w:r>
          </w:p>
        </w:tc>
        <w:tc>
          <w:tcPr>
            <w:tcW w:w="2388" w:type="dxa"/>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核心指标基准水平要求</w:t>
            </w:r>
          </w:p>
        </w:tc>
        <w:tc>
          <w:tcPr>
            <w:tcW w:w="2471" w:type="dxa"/>
            <w:vAlign w:val="center"/>
          </w:tcPr>
          <w:p>
            <w:pPr>
              <w:spacing w:line="240" w:lineRule="exact"/>
              <w:jc w:val="center"/>
              <w:rPr>
                <w:rFonts w:hint="eastAsia" w:ascii="宋体" w:hAnsi="宋体" w:eastAsia="宋体" w:cs="宋体"/>
                <w:kern w:val="0"/>
                <w:szCs w:val="18"/>
                <w:lang w:val="en-US" w:eastAsia="zh-CN"/>
              </w:rPr>
            </w:pPr>
            <w:r>
              <w:rPr>
                <w:rFonts w:hint="eastAsia" w:ascii="宋体" w:hAnsi="宋体" w:eastAsia="宋体" w:cs="宋体"/>
                <w:kern w:val="0"/>
                <w:szCs w:val="18"/>
                <w:lang w:val="en-US" w:eastAsia="zh-CN"/>
              </w:rPr>
              <w:t>创新性指标基准水平要求</w:t>
            </w:r>
          </w:p>
        </w:tc>
      </w:tr>
    </w:tbl>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六、预期作用和效益</w:t>
      </w:r>
    </w:p>
    <w:p>
      <w:pPr>
        <w:ind w:firstLine="560" w:firstLineChars="200"/>
        <w:rPr>
          <w:rFonts w:ascii="宋体" w:hAnsi="宋体" w:eastAsia="宋体" w:cs="华文楷体"/>
          <w:sz w:val="28"/>
          <w:szCs w:val="28"/>
        </w:rPr>
      </w:pPr>
      <w:r>
        <w:rPr>
          <w:rFonts w:hint="eastAsia" w:ascii="宋体" w:hAnsi="宋体" w:eastAsia="宋体" w:cs="华文楷体"/>
          <w:sz w:val="28"/>
          <w:szCs w:val="28"/>
        </w:rPr>
        <w:t>本标准主要针对</w:t>
      </w:r>
      <w:r>
        <w:rPr>
          <w:rFonts w:hint="eastAsia" w:ascii="宋体" w:hAnsi="宋体" w:eastAsia="宋体" w:cs="华文楷体"/>
          <w:sz w:val="28"/>
          <w:szCs w:val="28"/>
          <w:lang w:val="en-US" w:eastAsia="zh-CN"/>
        </w:rPr>
        <w:t>单元式空气调节机组</w:t>
      </w:r>
      <w:r>
        <w:rPr>
          <w:rFonts w:hint="eastAsia" w:ascii="宋体" w:hAnsi="宋体" w:eastAsia="宋体" w:cs="华文楷体"/>
          <w:sz w:val="28"/>
          <w:szCs w:val="28"/>
        </w:rPr>
        <w:t>产品企业标准“领跑者”的评价指标和评价方法进行规定，在制定过程中充分征求相关机构和生产企业等单位的意见和建议，并开展调研验证予以证明，力求制定后的标准具科学性、适应性和可操作性，因此，标准制定具有良好的社会效益和经济效益。</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七、采用国际标准和国外先进标准的程度，以及与国际、国外同类标准水平的对比情况</w:t>
      </w:r>
    </w:p>
    <w:p>
      <w:pPr>
        <w:ind w:firstLine="560" w:firstLineChars="200"/>
        <w:rPr>
          <w:rFonts w:ascii="宋体" w:hAnsi="宋体" w:eastAsia="宋体" w:cs="华文楷体"/>
          <w:sz w:val="28"/>
          <w:szCs w:val="28"/>
        </w:rPr>
      </w:pPr>
      <w:r>
        <w:rPr>
          <w:rFonts w:hint="eastAsia" w:ascii="宋体" w:hAnsi="宋体" w:eastAsia="宋体" w:cs="华文楷体"/>
          <w:sz w:val="28"/>
          <w:szCs w:val="28"/>
        </w:rPr>
        <w:t>本标准属于团体标准，与现行法律、法规、规章和政策以及有关基础和相关标准不矛盾。国内、国外均没有本标准所评价内容的评测标准。</w:t>
      </w:r>
    </w:p>
    <w:p>
      <w:pPr>
        <w:ind w:firstLine="562" w:firstLineChars="200"/>
        <w:rPr>
          <w:rFonts w:ascii="宋体" w:hAnsi="宋体" w:eastAsia="宋体" w:cs="华文楷体"/>
          <w:sz w:val="28"/>
          <w:szCs w:val="28"/>
        </w:rPr>
      </w:pPr>
      <w:r>
        <w:rPr>
          <w:rFonts w:hint="eastAsia" w:ascii="宋体" w:hAnsi="宋体" w:eastAsia="宋体" w:cs="华文楷体"/>
          <w:b/>
          <w:bCs/>
          <w:sz w:val="28"/>
          <w:szCs w:val="28"/>
        </w:rPr>
        <w:t>八、与有关的现行法律、法规和强制性国家标准的关系</w:t>
      </w:r>
    </w:p>
    <w:p>
      <w:pPr>
        <w:ind w:firstLine="560" w:firstLineChars="200"/>
        <w:rPr>
          <w:rFonts w:ascii="宋体" w:hAnsi="宋体" w:eastAsia="宋体" w:cs="华文楷体"/>
          <w:sz w:val="28"/>
          <w:szCs w:val="28"/>
        </w:rPr>
      </w:pPr>
      <w:r>
        <w:rPr>
          <w:rFonts w:hint="eastAsia" w:ascii="宋体" w:hAnsi="宋体" w:eastAsia="宋体" w:cs="华文楷体"/>
          <w:sz w:val="28"/>
          <w:szCs w:val="28"/>
        </w:rPr>
        <w:t>本标准与现有的法律、法规和强制性国家标准无冲突。</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九、重大分歧意见的处理经过和依据；</w:t>
      </w:r>
    </w:p>
    <w:p>
      <w:pPr>
        <w:ind w:firstLine="560" w:firstLineChars="200"/>
        <w:rPr>
          <w:rFonts w:ascii="宋体" w:hAnsi="宋体" w:eastAsia="宋体" w:cs="华文楷体"/>
          <w:sz w:val="28"/>
          <w:szCs w:val="28"/>
        </w:rPr>
      </w:pPr>
      <w:r>
        <w:rPr>
          <w:rFonts w:hint="eastAsia" w:ascii="宋体" w:hAnsi="宋体" w:eastAsia="宋体" w:cs="华文楷体"/>
          <w:sz w:val="28"/>
          <w:szCs w:val="28"/>
        </w:rPr>
        <w:t>目前无重大分歧意见。</w:t>
      </w:r>
    </w:p>
    <w:p>
      <w:pPr>
        <w:ind w:firstLine="562" w:firstLineChars="200"/>
        <w:rPr>
          <w:rFonts w:ascii="宋体" w:hAnsi="宋体" w:eastAsia="宋体" w:cs="华文楷体"/>
          <w:b/>
          <w:bCs/>
          <w:sz w:val="28"/>
          <w:szCs w:val="28"/>
        </w:rPr>
      </w:pPr>
      <w:r>
        <w:rPr>
          <w:rFonts w:hint="eastAsia" w:ascii="宋体" w:hAnsi="宋体" w:eastAsia="宋体" w:cs="华文楷体"/>
          <w:b/>
          <w:bCs/>
          <w:sz w:val="28"/>
          <w:szCs w:val="28"/>
        </w:rPr>
        <w:t>十、贯彻国家标准的要求和措施建议</w:t>
      </w:r>
    </w:p>
    <w:p>
      <w:pPr>
        <w:ind w:firstLine="560" w:firstLineChars="200"/>
        <w:rPr>
          <w:rFonts w:ascii="宋体" w:hAnsi="宋体" w:eastAsia="宋体" w:cs="华文楷体"/>
          <w:sz w:val="28"/>
          <w:szCs w:val="28"/>
        </w:rPr>
      </w:pPr>
      <w:r>
        <w:rPr>
          <w:rFonts w:hint="eastAsia" w:ascii="宋体" w:hAnsi="宋体" w:eastAsia="宋体" w:cs="华文楷体"/>
          <w:sz w:val="28"/>
          <w:szCs w:val="28"/>
        </w:rPr>
        <w:t>建议标准实施后组织标准宣讲，促进标准顺利实施。</w:t>
      </w:r>
    </w:p>
    <w:p>
      <w:pPr>
        <w:rPr>
          <w:rFonts w:ascii="宋体" w:hAnsi="宋体" w:eastAsia="宋体" w:cs="华文楷体"/>
          <w:sz w:val="28"/>
          <w:szCs w:val="28"/>
        </w:rPr>
      </w:pPr>
    </w:p>
    <w:sectPr>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89157203"/>
      <w:docPartObj>
        <w:docPartGallery w:val="autotext"/>
      </w:docPartObj>
    </w:sdtPr>
    <w:sdtContent>
      <w:p>
        <w:pPr>
          <w:pStyle w:val="3"/>
          <w:jc w:val="center"/>
        </w:pPr>
        <w:r>
          <w:fldChar w:fldCharType="begin"/>
        </w:r>
        <w:r>
          <w:instrText xml:space="preserve">PAGE   \* MERGEFORMAT</w:instrText>
        </w:r>
        <w:r>
          <w:fldChar w:fldCharType="separate"/>
        </w:r>
        <w:r>
          <w:rPr>
            <w:lang w:val="zh-CN"/>
          </w:rPr>
          <w:t>9</w:t>
        </w:r>
        <w:r>
          <w:fldChar w:fldCharType="end"/>
        </w:r>
      </w:p>
    </w:sdtContent>
  </w:sdt>
  <w:p>
    <w:pPr>
      <w:pStyle w:val="3"/>
      <w:ind w:firstLine="8100" w:firstLineChars="450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55787"/>
    <w:rsid w:val="0002055B"/>
    <w:rsid w:val="0003707C"/>
    <w:rsid w:val="00041004"/>
    <w:rsid w:val="00047AA6"/>
    <w:rsid w:val="000551BF"/>
    <w:rsid w:val="00085C84"/>
    <w:rsid w:val="00092CDE"/>
    <w:rsid w:val="00093363"/>
    <w:rsid w:val="000A195E"/>
    <w:rsid w:val="000A7A87"/>
    <w:rsid w:val="000C5BB0"/>
    <w:rsid w:val="000D29BE"/>
    <w:rsid w:val="000E1350"/>
    <w:rsid w:val="000E36C8"/>
    <w:rsid w:val="000E7412"/>
    <w:rsid w:val="000F3DDB"/>
    <w:rsid w:val="00124F1E"/>
    <w:rsid w:val="00125D6E"/>
    <w:rsid w:val="001B5B72"/>
    <w:rsid w:val="001B6255"/>
    <w:rsid w:val="001D4E2D"/>
    <w:rsid w:val="002119A4"/>
    <w:rsid w:val="00250B24"/>
    <w:rsid w:val="0025187D"/>
    <w:rsid w:val="00251AF3"/>
    <w:rsid w:val="002920BD"/>
    <w:rsid w:val="002921D8"/>
    <w:rsid w:val="002930F1"/>
    <w:rsid w:val="002D1DDE"/>
    <w:rsid w:val="002E51C5"/>
    <w:rsid w:val="00337766"/>
    <w:rsid w:val="00357B7C"/>
    <w:rsid w:val="003A6982"/>
    <w:rsid w:val="003E7F88"/>
    <w:rsid w:val="004357E2"/>
    <w:rsid w:val="00441431"/>
    <w:rsid w:val="004446BF"/>
    <w:rsid w:val="00486C90"/>
    <w:rsid w:val="00496CF0"/>
    <w:rsid w:val="004A2645"/>
    <w:rsid w:val="004B41EB"/>
    <w:rsid w:val="004C02AC"/>
    <w:rsid w:val="004D35C4"/>
    <w:rsid w:val="004F005C"/>
    <w:rsid w:val="005066AA"/>
    <w:rsid w:val="00557CB9"/>
    <w:rsid w:val="00580126"/>
    <w:rsid w:val="005C4CE2"/>
    <w:rsid w:val="005D2F49"/>
    <w:rsid w:val="00600357"/>
    <w:rsid w:val="00600AED"/>
    <w:rsid w:val="00617E95"/>
    <w:rsid w:val="006203D3"/>
    <w:rsid w:val="00636932"/>
    <w:rsid w:val="006456EC"/>
    <w:rsid w:val="00646E84"/>
    <w:rsid w:val="00652506"/>
    <w:rsid w:val="00665877"/>
    <w:rsid w:val="006A409F"/>
    <w:rsid w:val="006A7D27"/>
    <w:rsid w:val="006B2B50"/>
    <w:rsid w:val="006B54C5"/>
    <w:rsid w:val="006C20A4"/>
    <w:rsid w:val="006C37E7"/>
    <w:rsid w:val="00721721"/>
    <w:rsid w:val="00727786"/>
    <w:rsid w:val="00735920"/>
    <w:rsid w:val="00755787"/>
    <w:rsid w:val="007A03AC"/>
    <w:rsid w:val="007A7AC2"/>
    <w:rsid w:val="0081059B"/>
    <w:rsid w:val="0081251A"/>
    <w:rsid w:val="00820F97"/>
    <w:rsid w:val="0084364C"/>
    <w:rsid w:val="00847FE2"/>
    <w:rsid w:val="00871977"/>
    <w:rsid w:val="00897B23"/>
    <w:rsid w:val="009059CF"/>
    <w:rsid w:val="0091544B"/>
    <w:rsid w:val="00920320"/>
    <w:rsid w:val="00922A36"/>
    <w:rsid w:val="00926337"/>
    <w:rsid w:val="00954386"/>
    <w:rsid w:val="009734B9"/>
    <w:rsid w:val="00996B12"/>
    <w:rsid w:val="009C2B9B"/>
    <w:rsid w:val="00A0492D"/>
    <w:rsid w:val="00A4600A"/>
    <w:rsid w:val="00A604F0"/>
    <w:rsid w:val="00A64A69"/>
    <w:rsid w:val="00A655C6"/>
    <w:rsid w:val="00A86F64"/>
    <w:rsid w:val="00AF54AD"/>
    <w:rsid w:val="00B610AF"/>
    <w:rsid w:val="00B8273C"/>
    <w:rsid w:val="00C17D3A"/>
    <w:rsid w:val="00C17E53"/>
    <w:rsid w:val="00C36570"/>
    <w:rsid w:val="00C3697E"/>
    <w:rsid w:val="00C469CB"/>
    <w:rsid w:val="00C4732A"/>
    <w:rsid w:val="00C64591"/>
    <w:rsid w:val="00C85796"/>
    <w:rsid w:val="00C87E48"/>
    <w:rsid w:val="00CD0BB7"/>
    <w:rsid w:val="00CE7168"/>
    <w:rsid w:val="00CF15F0"/>
    <w:rsid w:val="00CF3F2F"/>
    <w:rsid w:val="00D07F70"/>
    <w:rsid w:val="00D35E8E"/>
    <w:rsid w:val="00D53AB1"/>
    <w:rsid w:val="00D83570"/>
    <w:rsid w:val="00D86C08"/>
    <w:rsid w:val="00DA0F8F"/>
    <w:rsid w:val="00DE2338"/>
    <w:rsid w:val="00E126C2"/>
    <w:rsid w:val="00E85D28"/>
    <w:rsid w:val="00EC0585"/>
    <w:rsid w:val="00ED0697"/>
    <w:rsid w:val="00EF6001"/>
    <w:rsid w:val="00F16D2C"/>
    <w:rsid w:val="00F214F1"/>
    <w:rsid w:val="00F22BEB"/>
    <w:rsid w:val="00FB2A74"/>
    <w:rsid w:val="00FC001C"/>
    <w:rsid w:val="00FE75CC"/>
    <w:rsid w:val="2AF22ADA"/>
    <w:rsid w:val="6F2F583D"/>
    <w:rsid w:val="7EB8401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7"/>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2"/>
    <w:basedOn w:val="1"/>
    <w:next w:val="1"/>
    <w:qFormat/>
    <w:uiPriority w:val="39"/>
    <w:pPr>
      <w:ind w:left="420" w:leftChars="200"/>
    </w:pPr>
    <w:rPr>
      <w:rFonts w:ascii="Times New Roman" w:hAnsi="Times New Roman" w:eastAsia="宋体" w:cs="Times New Roman"/>
      <w:szCs w:val="24"/>
    </w:rPr>
  </w:style>
  <w:style w:type="table" w:styleId="7">
    <w:name w:val="Table Grid"/>
    <w:basedOn w:val="6"/>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qFormat/>
    <w:uiPriority w:val="99"/>
    <w:rPr>
      <w:color w:val="0000FF"/>
      <w:u w:val="single"/>
    </w:rPr>
  </w:style>
  <w:style w:type="character" w:customStyle="1" w:styleId="10">
    <w:name w:val="页眉 Char"/>
    <w:basedOn w:val="8"/>
    <w:link w:val="4"/>
    <w:qFormat/>
    <w:uiPriority w:val="99"/>
    <w:rPr>
      <w:sz w:val="18"/>
      <w:szCs w:val="18"/>
    </w:rPr>
  </w:style>
  <w:style w:type="character" w:customStyle="1" w:styleId="11">
    <w:name w:val="页脚 Char"/>
    <w:basedOn w:val="8"/>
    <w:link w:val="3"/>
    <w:qFormat/>
    <w:uiPriority w:val="99"/>
    <w:rPr>
      <w:sz w:val="18"/>
      <w:szCs w:val="18"/>
    </w:rPr>
  </w:style>
  <w:style w:type="paragraph" w:styleId="12">
    <w:name w:val="List Paragraph"/>
    <w:basedOn w:val="1"/>
    <w:qFormat/>
    <w:uiPriority w:val="34"/>
    <w:pPr>
      <w:ind w:firstLine="420" w:firstLineChars="200"/>
    </w:pPr>
  </w:style>
  <w:style w:type="paragraph" w:customStyle="1" w:styleId="13">
    <w:name w:val="Table Paragraph"/>
    <w:basedOn w:val="1"/>
    <w:qFormat/>
    <w:uiPriority w:val="1"/>
    <w:pPr>
      <w:spacing w:line="300" w:lineRule="auto"/>
      <w:jc w:val="left"/>
    </w:pPr>
    <w:rPr>
      <w:kern w:val="0"/>
      <w:sz w:val="22"/>
      <w:lang w:eastAsia="en-US"/>
    </w:rPr>
  </w:style>
  <w:style w:type="paragraph" w:customStyle="1" w:styleId="14">
    <w:name w:val="段"/>
    <w:link w:val="1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character" w:customStyle="1" w:styleId="15">
    <w:name w:val="段 Char"/>
    <w:link w:val="14"/>
    <w:qFormat/>
    <w:uiPriority w:val="0"/>
    <w:rPr>
      <w:rFonts w:ascii="宋体" w:hAnsi="Times New Roman" w:eastAsia="宋体" w:cs="Times New Roman"/>
      <w:kern w:val="0"/>
      <w:szCs w:val="20"/>
    </w:rPr>
  </w:style>
  <w:style w:type="paragraph" w:customStyle="1" w:styleId="16">
    <w:name w:val="Default"/>
    <w:qFormat/>
    <w:uiPriority w:val="0"/>
    <w:pPr>
      <w:widowControl w:val="0"/>
      <w:autoSpaceDE w:val="0"/>
      <w:autoSpaceDN w:val="0"/>
      <w:adjustRightInd w:val="0"/>
    </w:pPr>
    <w:rPr>
      <w:rFonts w:ascii="仿宋" w:eastAsia="仿宋" w:cs="仿宋" w:hAnsiTheme="minorHAnsi"/>
      <w:color w:val="000000"/>
      <w:kern w:val="0"/>
      <w:sz w:val="24"/>
      <w:szCs w:val="24"/>
      <w:lang w:val="en-US" w:eastAsia="zh-CN" w:bidi="ar-SA"/>
    </w:rPr>
  </w:style>
  <w:style w:type="character" w:customStyle="1" w:styleId="17">
    <w:name w:val="批注框文本 Char"/>
    <w:basedOn w:val="8"/>
    <w:link w:val="2"/>
    <w:semiHidden/>
    <w:qFormat/>
    <w:uiPriority w:val="99"/>
    <w:rPr>
      <w:sz w:val="18"/>
      <w:szCs w:val="18"/>
    </w:rPr>
  </w:style>
  <w:style w:type="table" w:customStyle="1" w:styleId="18">
    <w:name w:val="网格型1"/>
    <w:basedOn w:val="6"/>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oleObject" Target="embeddings/oleObject8.bin"/><Relationship Id="rId15" Type="http://schemas.openxmlformats.org/officeDocument/2006/relationships/image" Target="media/image4.wmf"/><Relationship Id="rId14" Type="http://schemas.openxmlformats.org/officeDocument/2006/relationships/oleObject" Target="embeddings/oleObject7.bin"/><Relationship Id="rId13" Type="http://schemas.openxmlformats.org/officeDocument/2006/relationships/oleObject" Target="embeddings/oleObject6.bin"/><Relationship Id="rId12" Type="http://schemas.openxmlformats.org/officeDocument/2006/relationships/image" Target="media/image3.wmf"/><Relationship Id="rId11" Type="http://schemas.openxmlformats.org/officeDocument/2006/relationships/oleObject" Target="embeddings/oleObject5.bin"/><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A2C06F-A545-4A51-A01A-805424C23BAE}">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670</Words>
  <Characters>3820</Characters>
  <Lines>31</Lines>
  <Paragraphs>8</Paragraphs>
  <TotalTime>341</TotalTime>
  <ScaleCrop>false</ScaleCrop>
  <LinksUpToDate>false</LinksUpToDate>
  <CharactersWithSpaces>4482</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2020-06-04T01:34:00Z</dcterms:created>
  <dc:creator>LF</dc:creator>
  <cp:lastModifiedBy>test</cp:lastModifiedBy>
  <dcterms:modified xsi:type="dcterms:W3CDTF">2021-06-28T00:33:44Z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0C7FEC82942443698B0FD70D105F4D09</vt:lpwstr>
  </property>
</Properties>
</file>